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CBDE2">
      <w:pPr>
        <w:tabs>
          <w:tab w:val="left" w:pos="360"/>
        </w:tabs>
        <w:ind w:left="502" w:hanging="360"/>
      </w:pPr>
    </w:p>
    <w:p w14:paraId="1610F5B9">
      <w:pPr>
        <w:ind w:left="142" w:right="49"/>
        <w:jc w:val="center"/>
        <w:rPr>
          <w:rFonts w:cs="Arial"/>
          <w:b/>
          <w:bCs/>
          <w:color w:val="000000" w:themeColor="text1"/>
          <w:szCs w:val="24"/>
          <w14:textFill>
            <w14:solidFill>
              <w14:schemeClr w14:val="tx1"/>
            </w14:solidFill>
          </w14:textFill>
        </w:rPr>
      </w:pPr>
      <w:r>
        <w:rPr>
          <w:rFonts w:cs="Arial"/>
          <w:b/>
          <w:bCs/>
          <w:color w:val="000000" w:themeColor="text1"/>
          <w:szCs w:val="24"/>
          <w14:textFill>
            <w14:solidFill>
              <w14:schemeClr w14:val="tx1"/>
            </w14:solidFill>
          </w14:textFill>
        </w:rPr>
        <w:t>TABLA DE CONTENIDO</w:t>
      </w:r>
    </w:p>
    <w:sdt>
      <w:sdtPr>
        <w:rPr>
          <w:rFonts w:ascii="Arial" w:hAnsi="Arial" w:eastAsiaTheme="minorHAnsi" w:cstheme="minorBidi"/>
          <w:b w:val="0"/>
          <w:color w:val="auto"/>
          <w:szCs w:val="22"/>
          <w:lang w:val="es-ES" w:eastAsia="en-US"/>
        </w:rPr>
        <w:id w:val="275829990"/>
        <w:docPartObj>
          <w:docPartGallery w:val="Table of Contents"/>
          <w:docPartUnique/>
        </w:docPartObj>
      </w:sdtPr>
      <w:sdtEndPr>
        <w:rPr>
          <w:rFonts w:ascii="Baloo Thambi 2" w:hAnsi="Baloo Thambi 2" w:cs="Baloo Thambi 2" w:eastAsiaTheme="minorHAnsi"/>
          <w:b w:val="0"/>
          <w:bCs/>
          <w:color w:val="auto"/>
          <w:szCs w:val="22"/>
          <w:lang w:val="es-ES" w:eastAsia="en-US"/>
        </w:rPr>
      </w:sdtEndPr>
      <w:sdtContent>
        <w:p w14:paraId="71420979">
          <w:pPr>
            <w:pStyle w:val="99"/>
            <w:numPr>
              <w:ilvl w:val="0"/>
              <w:numId w:val="0"/>
            </w:numPr>
            <w:jc w:val="left"/>
            <w:rPr>
              <w:sz w:val="22"/>
              <w:szCs w:val="28"/>
            </w:rPr>
          </w:pPr>
        </w:p>
        <w:p w14:paraId="2AEA9D6A">
          <w:pPr>
            <w:pStyle w:val="24"/>
            <w:tabs>
              <w:tab w:val="left" w:pos="624"/>
              <w:tab w:val="right" w:leader="dot" w:pos="8828"/>
            </w:tabs>
            <w:rPr>
              <w:rFonts w:asciiTheme="minorHAnsi" w:hAnsiTheme="minorHAnsi" w:eastAsiaTheme="minorEastAsia" w:cstheme="minorBidi"/>
              <w:b w:val="0"/>
              <w:bCs w:val="0"/>
              <w:spacing w:val="0"/>
              <w:kern w:val="2"/>
              <w:sz w:val="22"/>
              <w:szCs w:val="22"/>
              <w:lang w:val="es-CO" w:eastAsia="es-CO"/>
              <w14:ligatures w14:val="standardContextual"/>
            </w:rPr>
          </w:pPr>
          <w:r>
            <w:rPr>
              <w:rFonts w:ascii="Baloo Thambi 2" w:hAnsi="Baloo Thambi 2" w:cs="Baloo Thambi 2"/>
              <w:sz w:val="22"/>
              <w:szCs w:val="18"/>
            </w:rPr>
            <w:fldChar w:fldCharType="begin"/>
          </w:r>
          <w:r>
            <w:rPr>
              <w:rFonts w:ascii="Baloo Thambi 2" w:hAnsi="Baloo Thambi 2" w:cs="Baloo Thambi 2"/>
              <w:sz w:val="22"/>
              <w:szCs w:val="18"/>
            </w:rPr>
            <w:instrText xml:space="preserve"> TOC \o "1-3" \h \z \u </w:instrText>
          </w:r>
          <w:r>
            <w:rPr>
              <w:rFonts w:ascii="Baloo Thambi 2" w:hAnsi="Baloo Thambi 2" w:cs="Baloo Thambi 2"/>
              <w:sz w:val="22"/>
              <w:szCs w:val="18"/>
            </w:rPr>
            <w:fldChar w:fldCharType="separate"/>
          </w:r>
          <w:r>
            <w:fldChar w:fldCharType="begin"/>
          </w:r>
          <w:r>
            <w:instrText xml:space="preserve"> HYPERLINK \l "_Toc182642783" </w:instrText>
          </w:r>
          <w:r>
            <w:fldChar w:fldCharType="separate"/>
          </w:r>
          <w:r>
            <w:rPr>
              <w:rStyle w:val="17"/>
            </w:rPr>
            <w:t>1.</w:t>
          </w:r>
          <w:r>
            <w:rPr>
              <w:rFonts w:asciiTheme="minorHAnsi" w:hAnsiTheme="minorHAnsi" w:eastAsiaTheme="minorEastAsia" w:cstheme="minorBidi"/>
              <w:b w:val="0"/>
              <w:bCs w:val="0"/>
              <w:spacing w:val="0"/>
              <w:kern w:val="2"/>
              <w:sz w:val="22"/>
              <w:szCs w:val="22"/>
              <w:lang w:val="es-CO" w:eastAsia="es-CO"/>
              <w14:ligatures w14:val="standardContextual"/>
            </w:rPr>
            <w:tab/>
          </w:r>
          <w:r>
            <w:rPr>
              <w:rStyle w:val="17"/>
            </w:rPr>
            <w:t>INTRODUCCIÓN</w:t>
          </w:r>
          <w:r>
            <w:tab/>
          </w:r>
          <w:r>
            <w:fldChar w:fldCharType="begin"/>
          </w:r>
          <w:r>
            <w:instrText xml:space="preserve"> PAGEREF _Toc182642783 \h </w:instrText>
          </w:r>
          <w:r>
            <w:fldChar w:fldCharType="separate"/>
          </w:r>
          <w:r>
            <w:t>5</w:t>
          </w:r>
          <w:r>
            <w:fldChar w:fldCharType="end"/>
          </w:r>
          <w:r>
            <w:fldChar w:fldCharType="end"/>
          </w:r>
        </w:p>
        <w:p w14:paraId="05A5C3DA">
          <w:pPr>
            <w:pStyle w:val="24"/>
            <w:tabs>
              <w:tab w:val="left" w:pos="624"/>
              <w:tab w:val="right" w:leader="dot" w:pos="8828"/>
            </w:tabs>
            <w:rPr>
              <w:rFonts w:asciiTheme="minorHAnsi" w:hAnsiTheme="minorHAnsi" w:eastAsiaTheme="minorEastAsia" w:cstheme="minorBidi"/>
              <w:b w:val="0"/>
              <w:bCs w:val="0"/>
              <w:spacing w:val="0"/>
              <w:kern w:val="2"/>
              <w:sz w:val="22"/>
              <w:szCs w:val="22"/>
              <w:lang w:val="es-CO" w:eastAsia="es-CO"/>
              <w14:ligatures w14:val="standardContextual"/>
            </w:rPr>
          </w:pPr>
          <w:r>
            <w:fldChar w:fldCharType="begin"/>
          </w:r>
          <w:r>
            <w:instrText xml:space="preserve"> HYPERLINK \l "_Toc182642784" </w:instrText>
          </w:r>
          <w:r>
            <w:fldChar w:fldCharType="separate"/>
          </w:r>
          <w:r>
            <w:rPr>
              <w:rStyle w:val="17"/>
            </w:rPr>
            <w:t>2.</w:t>
          </w:r>
          <w:r>
            <w:rPr>
              <w:rFonts w:asciiTheme="minorHAnsi" w:hAnsiTheme="minorHAnsi" w:eastAsiaTheme="minorEastAsia" w:cstheme="minorBidi"/>
              <w:b w:val="0"/>
              <w:bCs w:val="0"/>
              <w:spacing w:val="0"/>
              <w:kern w:val="2"/>
              <w:sz w:val="22"/>
              <w:szCs w:val="22"/>
              <w:lang w:val="es-CO" w:eastAsia="es-CO"/>
              <w14:ligatures w14:val="standardContextual"/>
            </w:rPr>
            <w:tab/>
          </w:r>
          <w:r>
            <w:rPr>
              <w:rStyle w:val="17"/>
            </w:rPr>
            <w:t>OBJETIVO</w:t>
          </w:r>
          <w:r>
            <w:tab/>
          </w:r>
          <w:r>
            <w:fldChar w:fldCharType="begin"/>
          </w:r>
          <w:r>
            <w:instrText xml:space="preserve"> PAGEREF _Toc182642784 \h </w:instrText>
          </w:r>
          <w:r>
            <w:fldChar w:fldCharType="separate"/>
          </w:r>
          <w:r>
            <w:t>6</w:t>
          </w:r>
          <w:r>
            <w:fldChar w:fldCharType="end"/>
          </w:r>
          <w:r>
            <w:fldChar w:fldCharType="end"/>
          </w:r>
        </w:p>
        <w:p w14:paraId="43573B97">
          <w:pPr>
            <w:pStyle w:val="24"/>
            <w:tabs>
              <w:tab w:val="left" w:pos="624"/>
              <w:tab w:val="right" w:leader="dot" w:pos="8828"/>
            </w:tabs>
            <w:rPr>
              <w:rFonts w:asciiTheme="minorHAnsi" w:hAnsiTheme="minorHAnsi" w:eastAsiaTheme="minorEastAsia" w:cstheme="minorBidi"/>
              <w:b w:val="0"/>
              <w:bCs w:val="0"/>
              <w:spacing w:val="0"/>
              <w:kern w:val="2"/>
              <w:sz w:val="22"/>
              <w:szCs w:val="22"/>
              <w:lang w:val="es-CO" w:eastAsia="es-CO"/>
              <w14:ligatures w14:val="standardContextual"/>
            </w:rPr>
          </w:pPr>
          <w:r>
            <w:fldChar w:fldCharType="begin"/>
          </w:r>
          <w:r>
            <w:instrText xml:space="preserve"> HYPERLINK \l "_Toc182642785" </w:instrText>
          </w:r>
          <w:r>
            <w:fldChar w:fldCharType="separate"/>
          </w:r>
          <w:r>
            <w:rPr>
              <w:rStyle w:val="17"/>
            </w:rPr>
            <w:t>3.</w:t>
          </w:r>
          <w:r>
            <w:rPr>
              <w:rFonts w:asciiTheme="minorHAnsi" w:hAnsiTheme="minorHAnsi" w:eastAsiaTheme="minorEastAsia" w:cstheme="minorBidi"/>
              <w:b w:val="0"/>
              <w:bCs w:val="0"/>
              <w:spacing w:val="0"/>
              <w:kern w:val="2"/>
              <w:sz w:val="22"/>
              <w:szCs w:val="22"/>
              <w:lang w:val="es-CO" w:eastAsia="es-CO"/>
              <w14:ligatures w14:val="standardContextual"/>
            </w:rPr>
            <w:tab/>
          </w:r>
          <w:r>
            <w:rPr>
              <w:rStyle w:val="17"/>
            </w:rPr>
            <w:t>MARCO NORMATIVO</w:t>
          </w:r>
          <w:r>
            <w:tab/>
          </w:r>
          <w:r>
            <w:fldChar w:fldCharType="begin"/>
          </w:r>
          <w:r>
            <w:instrText xml:space="preserve"> PAGEREF _Toc182642785 \h </w:instrText>
          </w:r>
          <w:r>
            <w:fldChar w:fldCharType="separate"/>
          </w:r>
          <w:r>
            <w:t>7</w:t>
          </w:r>
          <w:r>
            <w:fldChar w:fldCharType="end"/>
          </w:r>
          <w:r>
            <w:fldChar w:fldCharType="end"/>
          </w:r>
        </w:p>
        <w:p w14:paraId="0495EEF2">
          <w:pPr>
            <w:pStyle w:val="24"/>
            <w:tabs>
              <w:tab w:val="left" w:pos="624"/>
              <w:tab w:val="right" w:leader="dot" w:pos="8828"/>
            </w:tabs>
            <w:rPr>
              <w:rFonts w:asciiTheme="minorHAnsi" w:hAnsiTheme="minorHAnsi" w:eastAsiaTheme="minorEastAsia" w:cstheme="minorBidi"/>
              <w:b w:val="0"/>
              <w:bCs w:val="0"/>
              <w:spacing w:val="0"/>
              <w:kern w:val="2"/>
              <w:sz w:val="22"/>
              <w:szCs w:val="22"/>
              <w:lang w:val="es-CO" w:eastAsia="es-CO"/>
              <w14:ligatures w14:val="standardContextual"/>
            </w:rPr>
          </w:pPr>
          <w:r>
            <w:fldChar w:fldCharType="begin"/>
          </w:r>
          <w:r>
            <w:instrText xml:space="preserve"> HYPERLINK \l "_Toc182642786" </w:instrText>
          </w:r>
          <w:r>
            <w:fldChar w:fldCharType="separate"/>
          </w:r>
          <w:r>
            <w:rPr>
              <w:rStyle w:val="17"/>
            </w:rPr>
            <w:t>4.</w:t>
          </w:r>
          <w:r>
            <w:rPr>
              <w:rFonts w:asciiTheme="minorHAnsi" w:hAnsiTheme="minorHAnsi" w:eastAsiaTheme="minorEastAsia" w:cstheme="minorBidi"/>
              <w:b w:val="0"/>
              <w:bCs w:val="0"/>
              <w:spacing w:val="0"/>
              <w:kern w:val="2"/>
              <w:sz w:val="22"/>
              <w:szCs w:val="22"/>
              <w:lang w:val="es-CO" w:eastAsia="es-CO"/>
              <w14:ligatures w14:val="standardContextual"/>
            </w:rPr>
            <w:tab/>
          </w:r>
          <w:r>
            <w:rPr>
              <w:rStyle w:val="17"/>
            </w:rPr>
            <w:t>DEFINICIONES</w:t>
          </w:r>
          <w:r>
            <w:tab/>
          </w:r>
          <w:r>
            <w:fldChar w:fldCharType="begin"/>
          </w:r>
          <w:r>
            <w:instrText xml:space="preserve"> PAGEREF _Toc182642786 \h </w:instrText>
          </w:r>
          <w:r>
            <w:fldChar w:fldCharType="separate"/>
          </w:r>
          <w:r>
            <w:t>8</w:t>
          </w:r>
          <w:r>
            <w:fldChar w:fldCharType="end"/>
          </w:r>
          <w:r>
            <w:fldChar w:fldCharType="end"/>
          </w:r>
        </w:p>
        <w:p w14:paraId="06FC5A49">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"_Toc182642787" </w:instrText>
          </w:r>
          <w:r>
            <w:fldChar w:fldCharType="separate"/>
          </w:r>
          <w:r>
            <w:rPr>
              <w:rStyle w:val="17"/>
              <w:lang w:bidi="en-US"/>
              <w14:scene3d>
                <w14:lightRig w14:rig="threePt" w14:dir="t">
                  <w14:rot w14:lat="0" w14:lon="0" w14:rev="0"/>
                </w14:lightRig>
              </w14:scene3d>
            </w:rPr>
            <w:t>4.1</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Riesgo de Crédito (RC)</w:t>
          </w:r>
          <w:r>
            <w:tab/>
          </w:r>
          <w:r>
            <w:fldChar w:fldCharType="begin"/>
          </w:r>
          <w:r>
            <w:instrText xml:space="preserve"> PAGEREF _Toc182642787 \h </w:instrText>
          </w:r>
          <w:r>
            <w:fldChar w:fldCharType="separate"/>
          </w:r>
          <w:r>
            <w:t>8</w:t>
          </w:r>
          <w:r>
            <w:fldChar w:fldCharType="end"/>
          </w:r>
          <w:r>
            <w:fldChar w:fldCharType="end"/>
          </w:r>
        </w:p>
        <w:p w14:paraId="1A2067FB">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"_Toc182642788" </w:instrText>
          </w:r>
          <w:r>
            <w:fldChar w:fldCharType="separate"/>
          </w:r>
          <w:r>
            <w:rPr>
              <w:rStyle w:val="17"/>
              <w:lang w:bidi="en-US"/>
              <w14:scene3d>
                <w14:lightRig w14:rig="threePt" w14:dir="t">
                  <w14:rot w14:lat="0" w14:lon="0" w14:rev="0"/>
                </w14:lightRig>
              </w14:scene3d>
            </w:rPr>
            <w:t>4.2</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Crédito de consumo</w:t>
          </w:r>
          <w:r>
            <w:tab/>
          </w:r>
          <w:r>
            <w:fldChar w:fldCharType="begin"/>
          </w:r>
          <w:r>
            <w:instrText xml:space="preserve"> PAGEREF _Toc182642788 \h </w:instrText>
          </w:r>
          <w:r>
            <w:fldChar w:fldCharType="separate"/>
          </w:r>
          <w:r>
            <w:t>8</w:t>
          </w:r>
          <w:r>
            <w:fldChar w:fldCharType="end"/>
          </w:r>
          <w:r>
            <w:fldChar w:fldCharType="end"/>
          </w:r>
        </w:p>
        <w:p w14:paraId="6841CA45">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"_Toc182642789" </w:instrText>
          </w:r>
          <w:r>
            <w:fldChar w:fldCharType="separate"/>
          </w:r>
          <w:r>
            <w:rPr>
              <w:rStyle w:val="17"/>
              <w:lang w:bidi="en-US"/>
            </w:rPr>
            <w:t>4.2.1 Crédito de consumo de bajo monto</w:t>
          </w:r>
          <w:r>
            <w:tab/>
          </w:r>
          <w:r>
            <w:fldChar w:fldCharType="begin"/>
          </w:r>
          <w:r>
            <w:instrText xml:space="preserve"> PAGEREF _Toc182642789 \h </w:instrText>
          </w:r>
          <w:r>
            <w:fldChar w:fldCharType="separate"/>
          </w:r>
          <w:r>
            <w:t>8</w:t>
          </w:r>
          <w:r>
            <w:fldChar w:fldCharType="end"/>
          </w:r>
          <w:r>
            <w:fldChar w:fldCharType="end"/>
          </w:r>
        </w:p>
        <w:p w14:paraId="3EF99AD9">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"_Toc182642790" </w:instrText>
          </w:r>
          <w:r>
            <w:fldChar w:fldCharType="separate"/>
          </w:r>
          <w:r>
            <w:rPr>
              <w:rStyle w:val="17"/>
              <w:lang w:bidi="en-US"/>
              <w14:scene3d>
                <w14:lightRig w14:rig="threePt" w14:dir="t">
                  <w14:rot w14:lat="0" w14:lon="0" w14:rev="0"/>
                </w14:lightRig>
              </w14:scene3d>
            </w:rPr>
            <w:t>4.3</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Crédito comercial u ordinario</w:t>
          </w:r>
          <w:r>
            <w:tab/>
          </w:r>
          <w:r>
            <w:fldChar w:fldCharType="begin"/>
          </w:r>
          <w:r>
            <w:instrText xml:space="preserve"> PAGEREF _Toc182642790 \h </w:instrText>
          </w:r>
          <w:r>
            <w:fldChar w:fldCharType="separate"/>
          </w:r>
          <w:r>
            <w:t>8</w:t>
          </w:r>
          <w:r>
            <w:fldChar w:fldCharType="end"/>
          </w:r>
          <w:r>
            <w:fldChar w:fldCharType="end"/>
          </w:r>
        </w:p>
        <w:p w14:paraId="08B65240">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"_Toc182642791" </w:instrText>
          </w:r>
          <w:r>
            <w:fldChar w:fldCharType="separate"/>
          </w:r>
          <w:r>
            <w:rPr>
              <w:rStyle w:val="17"/>
              <w:lang w:bidi="en-US"/>
              <w14:scene3d>
                <w14:lightRig w14:rig="threePt" w14:dir="t">
                  <w14:rot w14:lat="0" w14:lon="0" w14:rev="0"/>
                </w14:lightRig>
              </w14:scene3d>
            </w:rPr>
            <w:t>4.4</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Créditos de vivienda</w:t>
          </w:r>
          <w:r>
            <w:tab/>
          </w:r>
          <w:r>
            <w:fldChar w:fldCharType="begin"/>
          </w:r>
          <w:r>
            <w:instrText xml:space="preserve"> PAGEREF _Toc182642791 \h </w:instrText>
          </w:r>
          <w:r>
            <w:fldChar w:fldCharType="separate"/>
          </w:r>
          <w:r>
            <w:t>8</w:t>
          </w:r>
          <w:r>
            <w:fldChar w:fldCharType="end"/>
          </w:r>
          <w:r>
            <w:fldChar w:fldCharType="end"/>
          </w:r>
        </w:p>
        <w:p w14:paraId="557E0570">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"_Toc182642792" </w:instrText>
          </w:r>
          <w:r>
            <w:fldChar w:fldCharType="separate"/>
          </w:r>
          <w:r>
            <w:rPr>
              <w:rStyle w:val="17"/>
              <w:lang w:bidi="en-US"/>
              <w14:scene3d>
                <w14:lightRig w14:rig="threePt" w14:dir="t">
                  <w14:rot w14:lat="0" w14:lon="0" w14:rev="0"/>
                </w14:lightRig>
              </w14:scene3d>
            </w:rPr>
            <w:t>4.5</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Microcrédito</w:t>
          </w:r>
          <w:r>
            <w:tab/>
          </w:r>
          <w:r>
            <w:fldChar w:fldCharType="begin"/>
          </w:r>
          <w:r>
            <w:instrText xml:space="preserve"> PAGEREF _Toc182642792 \h </w:instrText>
          </w:r>
          <w:r>
            <w:fldChar w:fldCharType="separate"/>
          </w:r>
          <w:r>
            <w:t>9</w:t>
          </w:r>
          <w:r>
            <w:fldChar w:fldCharType="end"/>
          </w:r>
          <w:r>
            <w:fldChar w:fldCharType="end"/>
          </w:r>
        </w:p>
        <w:p w14:paraId="5EA38FA0">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"_Toc182642793" </w:instrText>
          </w:r>
          <w:r>
            <w:fldChar w:fldCharType="separate"/>
          </w:r>
          <w:r>
            <w:rPr>
              <w:rStyle w:val="17"/>
              <w:lang w:bidi="en-US"/>
              <w14:scene3d>
                <w14:lightRig w14:rig="threePt" w14:dir="t">
                  <w14:rot w14:lat="0" w14:lon="0" w14:rev="0"/>
                </w14:lightRig>
              </w14:scene3d>
            </w:rPr>
            <w:t>4.6</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Crédito popular productivo rural</w:t>
          </w:r>
          <w:r>
            <w:tab/>
          </w:r>
          <w:r>
            <w:fldChar w:fldCharType="begin"/>
          </w:r>
          <w:r>
            <w:instrText xml:space="preserve"> PAGEREF _Toc182642793 \h </w:instrText>
          </w:r>
          <w:r>
            <w:fldChar w:fldCharType="separate"/>
          </w:r>
          <w:r>
            <w:t>9</w:t>
          </w:r>
          <w:r>
            <w:fldChar w:fldCharType="end"/>
          </w:r>
          <w:r>
            <w:fldChar w:fldCharType="end"/>
          </w:r>
        </w:p>
        <w:p w14:paraId="43C9C338">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"_Toc182642794" </w:instrText>
          </w:r>
          <w:r>
            <w:fldChar w:fldCharType="separate"/>
          </w:r>
          <w:r>
            <w:rPr>
              <w:rStyle w:val="17"/>
              <w:lang w:bidi="en-US"/>
              <w14:scene3d>
                <w14:lightRig w14:rig="threePt" w14:dir="t">
                  <w14:rot w14:lat="0" w14:lon="0" w14:rev="0"/>
                </w14:lightRig>
              </w14:scene3d>
            </w:rPr>
            <w:t>4.7</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Crédito popular productivo urbano</w:t>
          </w:r>
          <w:r>
            <w:tab/>
          </w:r>
          <w:r>
            <w:fldChar w:fldCharType="begin"/>
          </w:r>
          <w:r>
            <w:instrText xml:space="preserve"> PAGEREF _Toc182642794 \h </w:instrText>
          </w:r>
          <w:r>
            <w:fldChar w:fldCharType="separate"/>
          </w:r>
          <w:r>
            <w:t>9</w:t>
          </w:r>
          <w:r>
            <w:fldChar w:fldCharType="end"/>
          </w:r>
          <w:r>
            <w:fldChar w:fldCharType="end"/>
          </w:r>
        </w:p>
        <w:p w14:paraId="2E5309DF">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"_Toc182642795" </w:instrText>
          </w:r>
          <w:r>
            <w:fldChar w:fldCharType="separate"/>
          </w:r>
          <w:r>
            <w:rPr>
              <w:rStyle w:val="17"/>
              <w:lang w:bidi="en-US"/>
              <w14:scene3d>
                <w14:lightRig w14:rig="threePt" w14:dir="t">
                  <w14:rot w14:lat="0" w14:lon="0" w14:rev="0"/>
                </w14:lightRig>
              </w14:scene3d>
            </w:rPr>
            <w:t>4.8</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Crédito productivo rural</w:t>
          </w:r>
          <w:r>
            <w:tab/>
          </w:r>
          <w:r>
            <w:fldChar w:fldCharType="begin"/>
          </w:r>
          <w:r>
            <w:instrText xml:space="preserve"> PAGEREF _Toc182642795 \h </w:instrText>
          </w:r>
          <w:r>
            <w:fldChar w:fldCharType="separate"/>
          </w:r>
          <w:r>
            <w:t>10</w:t>
          </w:r>
          <w:r>
            <w:fldChar w:fldCharType="end"/>
          </w:r>
          <w:r>
            <w:fldChar w:fldCharType="end"/>
          </w:r>
        </w:p>
        <w:p w14:paraId="42AE7146">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"_Toc182642796" </w:instrText>
          </w:r>
          <w:r>
            <w:fldChar w:fldCharType="separate"/>
          </w:r>
          <w:r>
            <w:rPr>
              <w:rStyle w:val="17"/>
              <w:lang w:bidi="en-US"/>
              <w14:scene3d>
                <w14:lightRig w14:rig="threePt" w14:dir="t">
                  <w14:rot w14:lat="0" w14:lon="0" w14:rev="0"/>
                </w14:lightRig>
              </w14:scene3d>
            </w:rPr>
            <w:t>4.9</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Crédito productivo urbano</w:t>
          </w:r>
          <w:r>
            <w:tab/>
          </w:r>
          <w:r>
            <w:fldChar w:fldCharType="begin"/>
          </w:r>
          <w:r>
            <w:instrText xml:space="preserve"> PAGEREF _Toc182642796 \h </w:instrText>
          </w:r>
          <w:r>
            <w:fldChar w:fldCharType="separate"/>
          </w:r>
          <w:r>
            <w:t>10</w:t>
          </w:r>
          <w:r>
            <w:fldChar w:fldCharType="end"/>
          </w:r>
          <w:r>
            <w:fldChar w:fldCharType="end"/>
          </w:r>
        </w:p>
        <w:p w14:paraId="393C6C49">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"_Toc182642797" </w:instrText>
          </w:r>
          <w:r>
            <w:fldChar w:fldCharType="separate"/>
          </w:r>
          <w:r>
            <w:rPr>
              <w:rStyle w:val="17"/>
              <w:lang w:bidi="en-US"/>
              <w14:scene3d>
                <w14:lightRig w14:rig="threePt" w14:dir="t">
                  <w14:rot w14:lat="0" w14:lon="0" w14:rev="0"/>
                </w14:lightRig>
              </w14:scene3d>
            </w:rPr>
            <w:t>4.10</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Crédito productivo de mayor monto</w:t>
          </w:r>
          <w:r>
            <w:tab/>
          </w:r>
          <w:r>
            <w:fldChar w:fldCharType="begin"/>
          </w:r>
          <w:r>
            <w:instrText xml:space="preserve"> PAGEREF _Toc182642797 \h </w:instrText>
          </w:r>
          <w:r>
            <w:fldChar w:fldCharType="separate"/>
          </w:r>
          <w:r>
            <w:t>10</w:t>
          </w:r>
          <w:r>
            <w:fldChar w:fldCharType="end"/>
          </w:r>
          <w:r>
            <w:fldChar w:fldCharType="end"/>
          </w:r>
        </w:p>
        <w:p w14:paraId="5E130EE6">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"_Toc182642798" </w:instrText>
          </w:r>
          <w:r>
            <w:fldChar w:fldCharType="separate"/>
          </w:r>
          <w:r>
            <w:rPr>
              <w:rStyle w:val="17"/>
              <w:lang w:bidi="en-US"/>
              <w14:scene3d>
                <w14:lightRig w14:rig="threePt" w14:dir="t">
                  <w14:rot w14:lat="0" w14:lon="0" w14:rev="0"/>
                </w14:lightRig>
              </w14:scene3d>
            </w:rPr>
            <w:t>4.11</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Créditos a asociados, administradores, miembros de juntas de vigilancia y sus parientes</w:t>
          </w:r>
          <w:r>
            <w:tab/>
          </w:r>
          <w:r>
            <w:fldChar w:fldCharType="begin"/>
          </w:r>
          <w:r>
            <w:instrText xml:space="preserve"> PAGEREF _Toc182642798 \h </w:instrText>
          </w:r>
          <w:r>
            <w:fldChar w:fldCharType="separate"/>
          </w:r>
          <w:r>
            <w:t>10</w:t>
          </w:r>
          <w:r>
            <w:fldChar w:fldCharType="end"/>
          </w:r>
          <w:r>
            <w:fldChar w:fldCharType="end"/>
          </w:r>
        </w:p>
        <w:p w14:paraId="1C2F7A5A">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"_Toc182642799" </w:instrText>
          </w:r>
          <w:r>
            <w:fldChar w:fldCharType="separate"/>
          </w:r>
          <w:r>
            <w:rPr>
              <w:rStyle w:val="17"/>
              <w:lang w:bidi="en-US"/>
              <w14:scene3d>
                <w14:lightRig w14:rig="threePt" w14:dir="t">
                  <w14:rot w14:lat="0" w14:lon="0" w14:rev="0"/>
                </w14:lightRig>
              </w14:scene3d>
            </w:rPr>
            <w:t>4.12</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Vinculados y partes relacionadas</w:t>
          </w:r>
          <w:r>
            <w:tab/>
          </w:r>
          <w:r>
            <w:fldChar w:fldCharType="begin"/>
          </w:r>
          <w:r>
            <w:instrText xml:space="preserve"> PAGEREF _Toc182642799 \h </w:instrText>
          </w:r>
          <w:r>
            <w:fldChar w:fldCharType="separate"/>
          </w:r>
          <w:r>
            <w:t>10</w:t>
          </w:r>
          <w:r>
            <w:fldChar w:fldCharType="end"/>
          </w:r>
          <w:r>
            <w:fldChar w:fldCharType="end"/>
          </w:r>
        </w:p>
        <w:p w14:paraId="64759EA4">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"_Toc182642800" </w:instrText>
          </w:r>
          <w:r>
            <w:fldChar w:fldCharType="separate"/>
          </w:r>
          <w:r>
            <w:rPr>
              <w:rStyle w:val="17"/>
              <w:rFonts w:eastAsiaTheme="majorEastAsia"/>
              <w:lang w:bidi="en-US"/>
              <w14:scene3d>
                <w14:lightRig w14:rig="threePt" w14:dir="t">
                  <w14:rot w14:lat="0" w14:lon="0" w14:rev="0"/>
                </w14:lightRig>
              </w14:scene3d>
            </w:rPr>
            <w:t>4.13</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Novación</w:t>
          </w:r>
          <w:r>
            <w:tab/>
          </w:r>
          <w:r>
            <w:fldChar w:fldCharType="begin"/>
          </w:r>
          <w:r>
            <w:instrText xml:space="preserve"> PAGEREF _Toc182642800 \h </w:instrText>
          </w:r>
          <w:r>
            <w:fldChar w:fldCharType="separate"/>
          </w:r>
          <w:r>
            <w:t>11</w:t>
          </w:r>
          <w:r>
            <w:fldChar w:fldCharType="end"/>
          </w:r>
          <w:r>
            <w:fldChar w:fldCharType="end"/>
          </w:r>
        </w:p>
        <w:p w14:paraId="0F53F284">
          <w:pPr>
            <w:pStyle w:val="24"/>
            <w:tabs>
              <w:tab w:val="left" w:pos="624"/>
              <w:tab w:val="right" w:leader="dot" w:pos="8828"/>
            </w:tabs>
            <w:rPr>
              <w:rFonts w:asciiTheme="minorHAnsi" w:hAnsiTheme="minorHAnsi" w:eastAsiaTheme="minorEastAsia" w:cstheme="minorBidi"/>
              <w:b w:val="0"/>
              <w:bCs w:val="0"/>
              <w:spacing w:val="0"/>
              <w:kern w:val="2"/>
              <w:sz w:val="22"/>
              <w:szCs w:val="22"/>
              <w:lang w:val="es-CO" w:eastAsia="es-CO"/>
              <w14:ligatures w14:val="standardContextual"/>
            </w:rPr>
          </w:pPr>
          <w:r>
            <w:fldChar w:fldCharType="begin"/>
          </w:r>
          <w:r>
            <w:instrText xml:space="preserve"> HYPERLINK \l "_Toc182642801" </w:instrText>
          </w:r>
          <w:r>
            <w:fldChar w:fldCharType="separate"/>
          </w:r>
          <w:r>
            <w:rPr>
              <w:rStyle w:val="17"/>
            </w:rPr>
            <w:t>5.</w:t>
          </w:r>
          <w:r>
            <w:rPr>
              <w:rFonts w:asciiTheme="minorHAnsi" w:hAnsiTheme="minorHAnsi" w:eastAsiaTheme="minorEastAsia" w:cstheme="minorBidi"/>
              <w:b w:val="0"/>
              <w:bCs w:val="0"/>
              <w:spacing w:val="0"/>
              <w:kern w:val="2"/>
              <w:sz w:val="22"/>
              <w:szCs w:val="22"/>
              <w:lang w:val="es-CO" w:eastAsia="es-CO"/>
              <w14:ligatures w14:val="standardContextual"/>
            </w:rPr>
            <w:tab/>
          </w:r>
          <w:r>
            <w:rPr>
              <w:rStyle w:val="17"/>
            </w:rPr>
            <w:t>ESTRUCTURA ORGANIZACIONAL:</w:t>
          </w:r>
          <w:r>
            <w:tab/>
          </w:r>
          <w:r>
            <w:fldChar w:fldCharType="begin"/>
          </w:r>
          <w:r>
            <w:instrText xml:space="preserve"> PAGEREF _Toc182642801 \h </w:instrText>
          </w:r>
          <w:r>
            <w:fldChar w:fldCharType="separate"/>
          </w:r>
          <w:r>
            <w:t>12</w:t>
          </w:r>
          <w:r>
            <w:fldChar w:fldCharType="end"/>
          </w:r>
          <w:r>
            <w:fldChar w:fldCharType="end"/>
          </w:r>
        </w:p>
        <w:p w14:paraId="228B6BE0">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"_Toc182642802" </w:instrText>
          </w:r>
          <w:r>
            <w:fldChar w:fldCharType="separate"/>
          </w:r>
          <w:r>
            <w:rPr>
              <w:rStyle w:val="17"/>
              <w:lang w:bidi="en-US"/>
              <w14:scene3d>
                <w14:lightRig w14:rig="threePt" w14:dir="t">
                  <w14:rot w14:lat="0" w14:lon="0" w14:rev="0"/>
                </w14:lightRig>
              </w14:scene3d>
            </w:rPr>
            <w:t>5.1</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Del Consejo De Administración</w:t>
          </w:r>
          <w:r>
            <w:tab/>
          </w:r>
          <w:r>
            <w:fldChar w:fldCharType="begin"/>
          </w:r>
          <w:r>
            <w:instrText xml:space="preserve"> PAGEREF _Toc182642802 \h </w:instrText>
          </w:r>
          <w:r>
            <w:fldChar w:fldCharType="separate"/>
          </w:r>
          <w:r>
            <w:t>12</w:t>
          </w:r>
          <w:r>
            <w:fldChar w:fldCharType="end"/>
          </w:r>
          <w:r>
            <w:fldChar w:fldCharType="end"/>
          </w:r>
        </w:p>
        <w:p w14:paraId="59B63382">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"_Toc182642803" </w:instrText>
          </w:r>
          <w:r>
            <w:fldChar w:fldCharType="separate"/>
          </w:r>
          <w:r>
            <w:rPr>
              <w:rStyle w:val="17"/>
              <w:lang w:bidi="en-US"/>
              <w14:scene3d>
                <w14:lightRig w14:rig="threePt" w14:dir="t">
                  <w14:rot w14:lat="0" w14:lon="0" w14:rev="0"/>
                </w14:lightRig>
              </w14:scene3d>
            </w:rPr>
            <w:t>5.2</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Funcionarios</w:t>
          </w:r>
          <w:r>
            <w:tab/>
          </w:r>
          <w:r>
            <w:fldChar w:fldCharType="begin"/>
          </w:r>
          <w:r>
            <w:instrText xml:space="preserve"> PAGEREF _Toc182642803 \h </w:instrText>
          </w:r>
          <w:r>
            <w:fldChar w:fldCharType="separate"/>
          </w:r>
          <w:r>
            <w:t>13</w:t>
          </w:r>
          <w:r>
            <w:fldChar w:fldCharType="end"/>
          </w:r>
          <w:r>
            <w:fldChar w:fldCharType="end"/>
          </w:r>
        </w:p>
        <w:p w14:paraId="3DE2F8D7">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"_Toc182642804" </w:instrText>
          </w:r>
          <w:r>
            <w:fldChar w:fldCharType="separate"/>
          </w:r>
          <w:r>
            <w:rPr>
              <w:rStyle w:val="17"/>
              <w:lang w:bidi="en-US"/>
              <w14:scene3d>
                <w14:lightRig w14:rig="threePt" w14:dir="t">
                  <w14:rot w14:lat="0" w14:lon="0" w14:rev="0"/>
                </w14:lightRig>
              </w14:scene3d>
            </w:rPr>
            <w:t>5.3</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Órganos De Control</w:t>
          </w:r>
          <w:r>
            <w:tab/>
          </w:r>
          <w:r>
            <w:fldChar w:fldCharType="begin"/>
          </w:r>
          <w:r>
            <w:instrText xml:space="preserve"> PAGEREF _Toc182642804 \h </w:instrText>
          </w:r>
          <w:r>
            <w:fldChar w:fldCharType="separate"/>
          </w:r>
          <w:r>
            <w:t>15</w:t>
          </w:r>
          <w:r>
            <w:fldChar w:fldCharType="end"/>
          </w:r>
          <w:r>
            <w:fldChar w:fldCharType="end"/>
          </w:r>
        </w:p>
        <w:p w14:paraId="47711830">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"_Toc182642805" </w:instrText>
          </w:r>
          <w:r>
            <w:fldChar w:fldCharType="separate"/>
          </w:r>
          <w:r>
            <w:rPr>
              <w:rStyle w:val="17"/>
              <w:lang w:bidi="en-US"/>
              <w14:scene3d>
                <w14:lightRig w14:rig="threePt" w14:dir="t">
                  <w14:rot w14:lat="0" w14:lon="0" w14:rev="0"/>
                </w14:lightRig>
              </w14:scene3d>
            </w:rPr>
            <w:t>5.4</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Comité De Riesgos</w:t>
          </w:r>
          <w:r>
            <w:tab/>
          </w:r>
          <w:r>
            <w:fldChar w:fldCharType="begin"/>
          </w:r>
          <w:r>
            <w:instrText xml:space="preserve"> PAGEREF _Toc182642805 \h </w:instrText>
          </w:r>
          <w:r>
            <w:fldChar w:fldCharType="separate"/>
          </w:r>
          <w:r>
            <w:t>17</w:t>
          </w:r>
          <w:r>
            <w:fldChar w:fldCharType="end"/>
          </w:r>
          <w:r>
            <w:fldChar w:fldCharType="end"/>
          </w:r>
        </w:p>
        <w:p w14:paraId="58B9B93C">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"_Toc182642806" </w:instrText>
          </w:r>
          <w:r>
            <w:fldChar w:fldCharType="separate"/>
          </w:r>
          <w:r>
            <w:rPr>
              <w:rStyle w:val="17"/>
              <w:lang w:bidi="en-US"/>
              <w14:scene3d>
                <w14:lightRig w14:rig="threePt" w14:dir="t">
                  <w14:rot w14:lat="0" w14:lon="0" w14:rev="0"/>
                </w14:lightRig>
              </w14:scene3d>
            </w:rPr>
            <w:t>5.5</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Comité De Crédito</w:t>
          </w:r>
          <w:r>
            <w:tab/>
          </w:r>
          <w:r>
            <w:fldChar w:fldCharType="begin"/>
          </w:r>
          <w:r>
            <w:instrText xml:space="preserve"> PAGEREF _Toc182642806 \h </w:instrText>
          </w:r>
          <w:r>
            <w:fldChar w:fldCharType="separate"/>
          </w:r>
          <w:r>
            <w:t>17</w:t>
          </w:r>
          <w:r>
            <w:fldChar w:fldCharType="end"/>
          </w:r>
          <w:r>
            <w:fldChar w:fldCharType="end"/>
          </w:r>
        </w:p>
        <w:p w14:paraId="68041DCB">
          <w:pPr>
            <w:pStyle w:val="24"/>
            <w:tabs>
              <w:tab w:val="left" w:pos="624"/>
              <w:tab w:val="right" w:leader="dot" w:pos="8828"/>
            </w:tabs>
            <w:rPr>
              <w:rFonts w:asciiTheme="minorHAnsi" w:hAnsiTheme="minorHAnsi" w:eastAsiaTheme="minorEastAsia" w:cstheme="minorBidi"/>
              <w:b w:val="0"/>
              <w:bCs w:val="0"/>
              <w:spacing w:val="0"/>
              <w:kern w:val="2"/>
              <w:sz w:val="22"/>
              <w:szCs w:val="22"/>
              <w:lang w:val="es-CO" w:eastAsia="es-CO"/>
              <w14:ligatures w14:val="standardContextual"/>
            </w:rPr>
          </w:pPr>
          <w:r>
            <w:fldChar w:fldCharType="begin"/>
          </w:r>
          <w:r>
            <w:instrText xml:space="preserve"> HYPERLINK \l "_Toc182642807" </w:instrText>
          </w:r>
          <w:r>
            <w:fldChar w:fldCharType="separate"/>
          </w:r>
          <w:r>
            <w:rPr>
              <w:rStyle w:val="17"/>
            </w:rPr>
            <w:t>6.</w:t>
          </w:r>
          <w:r>
            <w:rPr>
              <w:rFonts w:asciiTheme="minorHAnsi" w:hAnsiTheme="minorHAnsi" w:eastAsiaTheme="minorEastAsia" w:cstheme="minorBidi"/>
              <w:b w:val="0"/>
              <w:bCs w:val="0"/>
              <w:spacing w:val="0"/>
              <w:kern w:val="2"/>
              <w:sz w:val="22"/>
              <w:szCs w:val="22"/>
              <w:lang w:val="es-CO" w:eastAsia="es-CO"/>
              <w14:ligatures w14:val="standardContextual"/>
            </w:rPr>
            <w:tab/>
          </w:r>
          <w:r>
            <w:rPr>
              <w:rStyle w:val="17"/>
            </w:rPr>
            <w:t>POLÍTICAS GENERALES</w:t>
          </w:r>
          <w:r>
            <w:tab/>
          </w:r>
          <w:r>
            <w:fldChar w:fldCharType="begin"/>
          </w:r>
          <w:r>
            <w:instrText xml:space="preserve"> PAGEREF _Toc182642807 \h </w:instrText>
          </w:r>
          <w:r>
            <w:fldChar w:fldCharType="separate"/>
          </w:r>
          <w:r>
            <w:t>18</w:t>
          </w:r>
          <w:r>
            <w:fldChar w:fldCharType="end"/>
          </w:r>
          <w:r>
            <w:fldChar w:fldCharType="end"/>
          </w:r>
        </w:p>
        <w:p w14:paraId="00F7DD46">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"_Toc182642808" </w:instrText>
          </w:r>
          <w:r>
            <w:fldChar w:fldCharType="separate"/>
          </w:r>
          <w:r>
            <w:rPr>
              <w:rStyle w:val="17"/>
              <w:lang w:bidi="en-US"/>
              <w14:scene3d>
                <w14:lightRig w14:rig="threePt" w14:dir="t">
                  <w14:rot w14:lat="0" w14:lon="0" w14:rev="0"/>
                </w14:lightRig>
              </w14:scene3d>
            </w:rPr>
            <w:t>6.1</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Fuente De Recursos</w:t>
          </w:r>
          <w:r>
            <w:tab/>
          </w:r>
          <w:r>
            <w:fldChar w:fldCharType="begin"/>
          </w:r>
          <w:r>
            <w:instrText xml:space="preserve"> PAGEREF _Toc182642808 \h </w:instrText>
          </w:r>
          <w:r>
            <w:fldChar w:fldCharType="separate"/>
          </w:r>
          <w:r>
            <w:t>20</w:t>
          </w:r>
          <w:r>
            <w:fldChar w:fldCharType="end"/>
          </w:r>
          <w:r>
            <w:fldChar w:fldCharType="end"/>
          </w:r>
        </w:p>
        <w:p w14:paraId="3FF088D1">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"_Toc182642809" </w:instrText>
          </w:r>
          <w:r>
            <w:fldChar w:fldCharType="separate"/>
          </w:r>
          <w:r>
            <w:rPr>
              <w:rStyle w:val="17"/>
              <w:lang w:bidi="en-US"/>
              <w14:scene3d>
                <w14:lightRig w14:rig="threePt" w14:dir="t">
                  <w14:rot w14:lat="0" w14:lon="0" w14:rev="0"/>
                </w14:lightRig>
              </w14:scene3d>
            </w:rPr>
            <w:t>6.2</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Tasas De Colocación:</w:t>
          </w:r>
          <w:r>
            <w:tab/>
          </w:r>
          <w:r>
            <w:fldChar w:fldCharType="begin"/>
          </w:r>
          <w:r>
            <w:instrText xml:space="preserve"> PAGEREF _Toc182642809 \h </w:instrText>
          </w:r>
          <w:r>
            <w:fldChar w:fldCharType="separate"/>
          </w:r>
          <w:r>
            <w:t>20</w:t>
          </w:r>
          <w:r>
            <w:fldChar w:fldCharType="end"/>
          </w:r>
          <w:r>
            <w:fldChar w:fldCharType="end"/>
          </w:r>
        </w:p>
        <w:p w14:paraId="09BD9139">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"_Toc182642810" </w:instrText>
          </w:r>
          <w:r>
            <w:fldChar w:fldCharType="separate"/>
          </w:r>
          <w:r>
            <w:rPr>
              <w:rStyle w:val="17"/>
              <w:lang w:bidi="en-US"/>
              <w14:scene3d>
                <w14:lightRig w14:rig="threePt" w14:dir="t">
                  <w14:rot w14:lat="0" w14:lon="0" w14:rev="0"/>
                </w14:lightRig>
              </w14:scene3d>
            </w:rPr>
            <w:t>6.3</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Plazos</w:t>
          </w:r>
          <w:r>
            <w:tab/>
          </w:r>
          <w:r>
            <w:fldChar w:fldCharType="begin"/>
          </w:r>
          <w:r>
            <w:instrText xml:space="preserve"> PAGEREF _Toc182642810 \h </w:instrText>
          </w:r>
          <w:r>
            <w:fldChar w:fldCharType="separate"/>
          </w:r>
          <w:r>
            <w:t>21</w:t>
          </w:r>
          <w:r>
            <w:fldChar w:fldCharType="end"/>
          </w:r>
          <w:r>
            <w:fldChar w:fldCharType="end"/>
          </w:r>
        </w:p>
        <w:p w14:paraId="4878E7BC">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"_Toc182642811" </w:instrText>
          </w:r>
          <w:r>
            <w:fldChar w:fldCharType="separate"/>
          </w:r>
          <w:r>
            <w:rPr>
              <w:rStyle w:val="17"/>
              <w:lang w:bidi="en-US"/>
              <w14:scene3d>
                <w14:lightRig w14:rig="threePt" w14:dir="t">
                  <w14:rot w14:lat="0" w14:lon="0" w14:rev="0"/>
                </w14:lightRig>
              </w14:scene3d>
            </w:rPr>
            <w:t>6.4</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Amortización</w:t>
          </w:r>
          <w:r>
            <w:tab/>
          </w:r>
          <w:r>
            <w:fldChar w:fldCharType="begin"/>
          </w:r>
          <w:r>
            <w:instrText xml:space="preserve"> PAGEREF _Toc182642811 \h </w:instrText>
          </w:r>
          <w:r>
            <w:fldChar w:fldCharType="separate"/>
          </w:r>
          <w:r>
            <w:t>22</w:t>
          </w:r>
          <w:r>
            <w:fldChar w:fldCharType="end"/>
          </w:r>
          <w:r>
            <w:fldChar w:fldCharType="end"/>
          </w:r>
        </w:p>
        <w:p w14:paraId="615F01B1">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"_Toc182642812" </w:instrText>
          </w:r>
          <w:r>
            <w:fldChar w:fldCharType="separate"/>
          </w:r>
          <w:r>
            <w:rPr>
              <w:rStyle w:val="17"/>
              <w:lang w:bidi="en-US"/>
              <w14:scene3d>
                <w14:lightRig w14:rig="threePt" w14:dir="t">
                  <w14:rot w14:lat="0" w14:lon="0" w14:rev="0"/>
                </w14:lightRig>
              </w14:scene3d>
            </w:rPr>
            <w:t>6.5</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Clasificación De La Cartera</w:t>
          </w:r>
          <w:r>
            <w:tab/>
          </w:r>
          <w:r>
            <w:fldChar w:fldCharType="begin"/>
          </w:r>
          <w:r>
            <w:instrText xml:space="preserve"> PAGEREF _Toc182642812 \h </w:instrText>
          </w:r>
          <w:r>
            <w:fldChar w:fldCharType="separate"/>
          </w:r>
          <w:r>
            <w:t>24</w:t>
          </w:r>
          <w:r>
            <w:fldChar w:fldCharType="end"/>
          </w:r>
          <w:r>
            <w:fldChar w:fldCharType="end"/>
          </w:r>
        </w:p>
        <w:p w14:paraId="14D0E0CF">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"_Toc182642813" </w:instrText>
          </w:r>
          <w:r>
            <w:fldChar w:fldCharType="separate"/>
          </w:r>
          <w:r>
            <w:rPr>
              <w:rStyle w:val="17"/>
              <w:lang w:bidi="en-US"/>
              <w14:scene3d>
                <w14:lightRig w14:rig="threePt" w14:dir="t">
                  <w14:rot w14:lat="0" w14:lon="0" w14:rev="0"/>
                </w14:lightRig>
              </w14:scene3d>
            </w:rPr>
            <w:t>6.6</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Líneas De Créditos:</w:t>
          </w:r>
          <w:r>
            <w:tab/>
          </w:r>
          <w:r>
            <w:fldChar w:fldCharType="begin"/>
          </w:r>
          <w:r>
            <w:instrText xml:space="preserve"> PAGEREF _Toc182642813 \h </w:instrText>
          </w:r>
          <w:r>
            <w:fldChar w:fldCharType="separate"/>
          </w:r>
          <w:r>
            <w:t>24</w:t>
          </w:r>
          <w:r>
            <w:fldChar w:fldCharType="end"/>
          </w:r>
          <w:r>
            <w:fldChar w:fldCharType="end"/>
          </w:r>
        </w:p>
        <w:p w14:paraId="2C4D2231">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"_Toc182642814" </w:instrText>
          </w:r>
          <w:r>
            <w:fldChar w:fldCharType="separate"/>
          </w:r>
          <w:r>
            <w:rPr>
              <w:rStyle w:val="17"/>
              <w:lang w:bidi="en-US"/>
              <w14:scene3d>
                <w14:lightRig w14:rig="threePt" w14:dir="t">
                  <w14:rot w14:lat="0" w14:lon="0" w14:rev="0"/>
                </w14:lightRig>
              </w14:scene3d>
            </w:rPr>
            <w:t>6.7</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Entes O Instancias De Aprobación:</w:t>
          </w:r>
          <w:r>
            <w:tab/>
          </w:r>
          <w:r>
            <w:fldChar w:fldCharType="begin"/>
          </w:r>
          <w:r>
            <w:instrText xml:space="preserve"> PAGEREF _Toc182642814 \h </w:instrText>
          </w:r>
          <w:r>
            <w:fldChar w:fldCharType="separate"/>
          </w:r>
          <w:r>
            <w:t>24</w:t>
          </w:r>
          <w:r>
            <w:fldChar w:fldCharType="end"/>
          </w:r>
          <w:r>
            <w:fldChar w:fldCharType="end"/>
          </w:r>
        </w:p>
        <w:p w14:paraId="26258619">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"_Toc182642815" </w:instrText>
          </w:r>
          <w:r>
            <w:fldChar w:fldCharType="separate"/>
          </w:r>
          <w:r>
            <w:rPr>
              <w:rStyle w:val="17"/>
            </w:rPr>
            <w:t>6.7.1 Niveles de atribución otorgamiento de crédito</w:t>
          </w:r>
          <w:r>
            <w:tab/>
          </w:r>
          <w:r>
            <w:fldChar w:fldCharType="begin"/>
          </w:r>
          <w:r>
            <w:instrText xml:space="preserve"> PAGEREF _Toc182642815 \h </w:instrText>
          </w:r>
          <w:r>
            <w:fldChar w:fldCharType="separate"/>
          </w:r>
          <w:r>
            <w:t>24</w:t>
          </w:r>
          <w:r>
            <w:fldChar w:fldCharType="end"/>
          </w:r>
          <w:r>
            <w:fldChar w:fldCharType="end"/>
          </w:r>
        </w:p>
        <w:p w14:paraId="08962DD3">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"_Toc182642816" </w:instrText>
          </w:r>
          <w:r>
            <w:fldChar w:fldCharType="separate"/>
          </w:r>
          <w:r>
            <w:rPr>
              <w:rStyle w:val="17"/>
            </w:rPr>
            <w:t>6.7.2 Niveles De Atribución para la Normalización de Cartera:</w:t>
          </w:r>
          <w:r>
            <w:tab/>
          </w:r>
          <w:r>
            <w:fldChar w:fldCharType="begin"/>
          </w:r>
          <w:r>
            <w:instrText xml:space="preserve"> PAGEREF _Toc182642816 \h </w:instrText>
          </w:r>
          <w:r>
            <w:fldChar w:fldCharType="separate"/>
          </w:r>
          <w:r>
            <w:t>25</w:t>
          </w:r>
          <w:r>
            <w:fldChar w:fldCharType="end"/>
          </w:r>
          <w:r>
            <w:fldChar w:fldCharType="end"/>
          </w:r>
        </w:p>
        <w:p w14:paraId="0468A8BC">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"_Toc182642817" </w:instrText>
          </w:r>
          <w:r>
            <w:fldChar w:fldCharType="separate"/>
          </w:r>
          <w:r>
            <w:rPr>
              <w:rStyle w:val="17"/>
              <w:lang w:bidi="en-US"/>
              <w14:scene3d>
                <w14:lightRig w14:rig="threePt" w14:dir="t">
                  <w14:rot w14:lat="0" w14:lon="0" w14:rev="0"/>
                </w14:lightRig>
              </w14:scene3d>
            </w:rPr>
            <w:t>6.8</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Estrategia Comercial Y Segmentos De Mercado:</w:t>
          </w:r>
          <w:r>
            <w:tab/>
          </w:r>
          <w:r>
            <w:fldChar w:fldCharType="begin"/>
          </w:r>
          <w:r>
            <w:instrText xml:space="preserve"> PAGEREF _Toc182642817 \h </w:instrText>
          </w:r>
          <w:r>
            <w:fldChar w:fldCharType="separate"/>
          </w:r>
          <w:r>
            <w:t>26</w:t>
          </w:r>
          <w:r>
            <w:fldChar w:fldCharType="end"/>
          </w:r>
          <w:r>
            <w:fldChar w:fldCharType="end"/>
          </w:r>
        </w:p>
        <w:p w14:paraId="3E1DE6CD">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"_Toc182642818" </w:instrText>
          </w:r>
          <w:r>
            <w:fldChar w:fldCharType="separate"/>
          </w:r>
          <w:r>
            <w:rPr>
              <w:rStyle w:val="17"/>
            </w:rPr>
            <w:t>6.8.1 Estrategia Comercial</w:t>
          </w:r>
          <w:r>
            <w:tab/>
          </w:r>
          <w:r>
            <w:fldChar w:fldCharType="begin"/>
          </w:r>
          <w:r>
            <w:instrText xml:space="preserve"> PAGEREF _Toc182642818 \h </w:instrText>
          </w:r>
          <w:r>
            <w:fldChar w:fldCharType="separate"/>
          </w:r>
          <w:r>
            <w:t>26</w:t>
          </w:r>
          <w:r>
            <w:fldChar w:fldCharType="end"/>
          </w:r>
          <w:r>
            <w:fldChar w:fldCharType="end"/>
          </w:r>
        </w:p>
        <w:p w14:paraId="1C2C0A49">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"_Toc182642819" </w:instrText>
          </w:r>
          <w:r>
            <w:fldChar w:fldCharType="separate"/>
          </w:r>
          <w:r>
            <w:rPr>
              <w:rStyle w:val="17"/>
            </w:rPr>
            <w:t>6.8.2 Segmentos de Mercado</w:t>
          </w:r>
          <w:r>
            <w:tab/>
          </w:r>
          <w:r>
            <w:fldChar w:fldCharType="begin"/>
          </w:r>
          <w:r>
            <w:instrText xml:space="preserve"> PAGEREF _Toc182642819 \h </w:instrText>
          </w:r>
          <w:r>
            <w:fldChar w:fldCharType="separate"/>
          </w:r>
          <w:r>
            <w:t>26</w:t>
          </w:r>
          <w:r>
            <w:fldChar w:fldCharType="end"/>
          </w:r>
          <w:r>
            <w:fldChar w:fldCharType="end"/>
          </w:r>
        </w:p>
        <w:p w14:paraId="609354C1">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"_Toc182642820" </w:instrText>
          </w:r>
          <w:r>
            <w:fldChar w:fldCharType="separate"/>
          </w:r>
          <w:r>
            <w:rPr>
              <w:rStyle w:val="17"/>
              <w:lang w:bidi="en-US"/>
              <w14:scene3d>
                <w14:lightRig w14:rig="threePt" w14:dir="t">
                  <w14:rot w14:lat="0" w14:lon="0" w14:rev="0"/>
                </w14:lightRig>
              </w14:scene3d>
            </w:rPr>
            <w:t>6.9</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Nuevos Productos O Segmentos De Mercado:</w:t>
          </w:r>
          <w:r>
            <w:tab/>
          </w:r>
          <w:r>
            <w:fldChar w:fldCharType="begin"/>
          </w:r>
          <w:r>
            <w:instrText xml:space="preserve"> PAGEREF _Toc182642820 \h </w:instrText>
          </w:r>
          <w:r>
            <w:fldChar w:fldCharType="separate"/>
          </w:r>
          <w:r>
            <w:t>27</w:t>
          </w:r>
          <w:r>
            <w:fldChar w:fldCharType="end"/>
          </w:r>
          <w:r>
            <w:fldChar w:fldCharType="end"/>
          </w:r>
        </w:p>
        <w:p w14:paraId="0F275FD6">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"_Toc182642821" </w:instrText>
          </w:r>
          <w:r>
            <w:fldChar w:fldCharType="separate"/>
          </w:r>
          <w:r>
            <w:rPr>
              <w:rStyle w:val="17"/>
              <w:lang w:bidi="en-US"/>
              <w14:scene3d>
                <w14:lightRig w14:rig="threePt" w14:dir="t">
                  <w14:rot w14:lat="0" w14:lon="0" w14:rev="0"/>
                </w14:lightRig>
              </w14:scene3d>
            </w:rPr>
            <w:t>6.10</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Límites De Exposición:</w:t>
          </w:r>
          <w:r>
            <w:tab/>
          </w:r>
          <w:r>
            <w:fldChar w:fldCharType="begin"/>
          </w:r>
          <w:r>
            <w:instrText xml:space="preserve"> PAGEREF _Toc182642821 \h </w:instrText>
          </w:r>
          <w:r>
            <w:fldChar w:fldCharType="separate"/>
          </w:r>
          <w:r>
            <w:t>28</w:t>
          </w:r>
          <w:r>
            <w:fldChar w:fldCharType="end"/>
          </w:r>
          <w:r>
            <w:fldChar w:fldCharType="end"/>
          </w:r>
        </w:p>
        <w:p w14:paraId="7494418C">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"_Toc182642822" </w:instrText>
          </w:r>
          <w:r>
            <w:fldChar w:fldCharType="separate"/>
          </w:r>
          <w:r>
            <w:rPr>
              <w:rStyle w:val="17"/>
            </w:rPr>
            <w:t>6.10.1 Límites Legales individuales de endeudamiento</w:t>
          </w:r>
          <w:r>
            <w:tab/>
          </w:r>
          <w:r>
            <w:fldChar w:fldCharType="begin"/>
          </w:r>
          <w:r>
            <w:instrText xml:space="preserve"> PAGEREF _Toc182642822 \h </w:instrText>
          </w:r>
          <w:r>
            <w:fldChar w:fldCharType="separate"/>
          </w:r>
          <w:r>
            <w:t>28</w:t>
          </w:r>
          <w:r>
            <w:fldChar w:fldCharType="end"/>
          </w:r>
          <w:r>
            <w:fldChar w:fldCharType="end"/>
          </w:r>
        </w:p>
        <w:p w14:paraId="76A38986">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"_Toc182642823" </w:instrText>
          </w:r>
          <w:r>
            <w:fldChar w:fldCharType="separate"/>
          </w:r>
          <w:r>
            <w:rPr>
              <w:rStyle w:val="17"/>
            </w:rPr>
            <w:t>6.10.2 Límites por Reciprocidad de Aportes</w:t>
          </w:r>
          <w:r>
            <w:tab/>
          </w:r>
          <w:r>
            <w:fldChar w:fldCharType="begin"/>
          </w:r>
          <w:r>
            <w:instrText xml:space="preserve"> PAGEREF _Toc182642823 \h </w:instrText>
          </w:r>
          <w:r>
            <w:fldChar w:fldCharType="separate"/>
          </w:r>
          <w:r>
            <w:t>29</w:t>
          </w:r>
          <w:r>
            <w:fldChar w:fldCharType="end"/>
          </w:r>
          <w:r>
            <w:fldChar w:fldCharType="end"/>
          </w:r>
        </w:p>
        <w:p w14:paraId="7ADFC8A5">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"_Toc182642824" </w:instrText>
          </w:r>
          <w:r>
            <w:fldChar w:fldCharType="separate"/>
          </w:r>
          <w:r>
            <w:rPr>
              <w:rStyle w:val="17"/>
            </w:rPr>
            <w:t>6.10.3 Límites de endeudamiento según garantía</w:t>
          </w:r>
          <w:r>
            <w:tab/>
          </w:r>
          <w:r>
            <w:fldChar w:fldCharType="begin"/>
          </w:r>
          <w:r>
            <w:instrText xml:space="preserve"> PAGEREF _Toc182642824 \h </w:instrText>
          </w:r>
          <w:r>
            <w:fldChar w:fldCharType="separate"/>
          </w:r>
          <w:r>
            <w:t>30</w:t>
          </w:r>
          <w:r>
            <w:fldChar w:fldCharType="end"/>
          </w:r>
          <w:r>
            <w:fldChar w:fldCharType="end"/>
          </w:r>
        </w:p>
        <w:p w14:paraId="76216297">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"_Toc182642825" </w:instrText>
          </w:r>
          <w:r>
            <w:fldChar w:fldCharType="separate"/>
          </w:r>
          <w:r>
            <w:rPr>
              <w:rStyle w:val="17"/>
            </w:rPr>
            <w:t>6.10.4 Límites de endeudamiento según plazos</w:t>
          </w:r>
          <w:r>
            <w:tab/>
          </w:r>
          <w:r>
            <w:fldChar w:fldCharType="begin"/>
          </w:r>
          <w:r>
            <w:instrText xml:space="preserve"> PAGEREF _Toc182642825 \h </w:instrText>
          </w:r>
          <w:r>
            <w:fldChar w:fldCharType="separate"/>
          </w:r>
          <w:r>
            <w:t>30</w:t>
          </w:r>
          <w:r>
            <w:fldChar w:fldCharType="end"/>
          </w:r>
          <w:r>
            <w:fldChar w:fldCharType="end"/>
          </w:r>
        </w:p>
        <w:p w14:paraId="79D03669">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"_Toc182642826" </w:instrText>
          </w:r>
          <w:r>
            <w:fldChar w:fldCharType="separate"/>
          </w:r>
          <w:r>
            <w:rPr>
              <w:rStyle w:val="17"/>
            </w:rPr>
            <w:t>6.10.5 Otros Limites</w:t>
          </w:r>
          <w:r>
            <w:tab/>
          </w:r>
          <w:r>
            <w:fldChar w:fldCharType="begin"/>
          </w:r>
          <w:r>
            <w:instrText xml:space="preserve"> PAGEREF _Toc182642826 \h </w:instrText>
          </w:r>
          <w:r>
            <w:fldChar w:fldCharType="separate"/>
          </w:r>
          <w:r>
            <w:t>30</w:t>
          </w:r>
          <w:r>
            <w:fldChar w:fldCharType="end"/>
          </w:r>
          <w:r>
            <w:fldChar w:fldCharType="end"/>
          </w:r>
        </w:p>
        <w:p w14:paraId="43C44837">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"_Toc182642827" </w:instrText>
          </w:r>
          <w:r>
            <w:fldChar w:fldCharType="separate"/>
          </w:r>
          <w:r>
            <w:rPr>
              <w:rStyle w:val="17"/>
            </w:rPr>
            <w:t>6.10.6 Incumplimiento de límites:</w:t>
          </w:r>
          <w:r>
            <w:tab/>
          </w:r>
          <w:r>
            <w:fldChar w:fldCharType="begin"/>
          </w:r>
          <w:r>
            <w:instrText xml:space="preserve"> PAGEREF _Toc182642827 \h </w:instrText>
          </w:r>
          <w:r>
            <w:fldChar w:fldCharType="separate"/>
          </w:r>
          <w:r>
            <w:t>30</w:t>
          </w:r>
          <w:r>
            <w:fldChar w:fldCharType="end"/>
          </w:r>
          <w:r>
            <w:fldChar w:fldCharType="end"/>
          </w:r>
        </w:p>
        <w:p w14:paraId="5C133960">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"_Toc182642828" </w:instrText>
          </w:r>
          <w:r>
            <w:fldChar w:fldCharType="separate"/>
          </w:r>
          <w:r>
            <w:rPr>
              <w:rStyle w:val="17"/>
              <w:lang w:bidi="en-US"/>
              <w14:scene3d>
                <w14:lightRig w14:rig="threePt" w14:dir="t">
                  <w14:rot w14:lat="0" w14:lon="0" w14:rev="0"/>
                </w14:lightRig>
              </w14:scene3d>
            </w:rPr>
            <w:t>6.11</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Personas Privilegiadas - Partes Relacionadas O Vinculadas</w:t>
          </w:r>
          <w:r>
            <w:tab/>
          </w:r>
          <w:r>
            <w:fldChar w:fldCharType="begin"/>
          </w:r>
          <w:r>
            <w:instrText xml:space="preserve"> PAGEREF _Toc182642828 \h </w:instrText>
          </w:r>
          <w:r>
            <w:fldChar w:fldCharType="separate"/>
          </w:r>
          <w:r>
            <w:t>31</w:t>
          </w:r>
          <w:r>
            <w:fldChar w:fldCharType="end"/>
          </w:r>
          <w:r>
            <w:fldChar w:fldCharType="end"/>
          </w:r>
        </w:p>
        <w:p w14:paraId="688CF815">
          <w:pPr>
            <w:pStyle w:val="24"/>
            <w:tabs>
              <w:tab w:val="left" w:pos="624"/>
              <w:tab w:val="right" w:leader="dot" w:pos="8828"/>
            </w:tabs>
            <w:rPr>
              <w:rFonts w:asciiTheme="minorHAnsi" w:hAnsiTheme="minorHAnsi" w:eastAsiaTheme="minorEastAsia" w:cstheme="minorBidi"/>
              <w:b w:val="0"/>
              <w:bCs w:val="0"/>
              <w:spacing w:val="0"/>
              <w:kern w:val="2"/>
              <w:sz w:val="22"/>
              <w:szCs w:val="22"/>
              <w:lang w:val="es-CO" w:eastAsia="es-CO"/>
              <w14:ligatures w14:val="standardContextual"/>
            </w:rPr>
          </w:pPr>
          <w:r>
            <w:fldChar w:fldCharType="begin"/>
          </w:r>
          <w:r>
            <w:instrText xml:space="preserve"> HYPERLINK \l "_Toc182642829" </w:instrText>
          </w:r>
          <w:r>
            <w:fldChar w:fldCharType="separate"/>
          </w:r>
          <w:r>
            <w:rPr>
              <w:rStyle w:val="17"/>
            </w:rPr>
            <w:t>7.</w:t>
          </w:r>
          <w:r>
            <w:rPr>
              <w:rFonts w:asciiTheme="minorHAnsi" w:hAnsiTheme="minorHAnsi" w:eastAsiaTheme="minorEastAsia" w:cstheme="minorBidi"/>
              <w:b w:val="0"/>
              <w:bCs w:val="0"/>
              <w:spacing w:val="0"/>
              <w:kern w:val="2"/>
              <w:sz w:val="22"/>
              <w:szCs w:val="22"/>
              <w:lang w:val="es-CO" w:eastAsia="es-CO"/>
              <w14:ligatures w14:val="standardContextual"/>
            </w:rPr>
            <w:tab/>
          </w:r>
          <w:r>
            <w:rPr>
              <w:rStyle w:val="17"/>
            </w:rPr>
            <w:t>ETAPAS</w:t>
          </w:r>
          <w:r>
            <w:tab/>
          </w:r>
          <w:r>
            <w:fldChar w:fldCharType="begin"/>
          </w:r>
          <w:r>
            <w:instrText xml:space="preserve"> PAGEREF _Toc182642829 \h </w:instrText>
          </w:r>
          <w:r>
            <w:fldChar w:fldCharType="separate"/>
          </w:r>
          <w:r>
            <w:t>32</w:t>
          </w:r>
          <w:r>
            <w:fldChar w:fldCharType="end"/>
          </w:r>
          <w:r>
            <w:fldChar w:fldCharType="end"/>
          </w:r>
        </w:p>
        <w:p w14:paraId="0316202A">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"_Toc182642830" </w:instrText>
          </w:r>
          <w:r>
            <w:fldChar w:fldCharType="separate"/>
          </w:r>
          <w:r>
            <w:rPr>
              <w:rStyle w:val="17"/>
              <w:rFonts w:cs="Arial"/>
              <w:bCs/>
              <w:lang w:val="es-ES" w:bidi="en-US"/>
              <w14:scene3d>
                <w14:lightRig w14:rig="threePt" w14:dir="t">
                  <w14:rot w14:lat="0" w14:lon="0" w14:rev="0"/>
                </w14:lightRig>
              </w14:scene3d>
            </w:rPr>
            <w:t>7.1</w:t>
          </w:r>
          <w:r>
            <w:rPr>
              <w:rFonts w:asciiTheme="minorHAnsi" w:hAnsiTheme="minorHAnsi" w:eastAsiaTheme="minorEastAsia" w:cstheme="minorBidi"/>
              <w:b w:val="0"/>
              <w:smallCaps w:val="0"/>
              <w:kern w:val="2"/>
              <w:sz w:val="22"/>
              <w:szCs w:val="22"/>
              <w:lang w:val="es-CO" w:eastAsia="es-CO"/>
              <w14:ligatures w14:val="standardContextual"/>
            </w:rPr>
            <w:tab/>
          </w:r>
          <w:r>
            <w:rPr>
              <w:rStyle w:val="17"/>
              <w:rFonts w:cs="Arial"/>
              <w:bCs/>
              <w:lang w:val="es-ES" w:bidi="en-US"/>
            </w:rPr>
            <w:t>Identificación:</w:t>
          </w:r>
          <w:r>
            <w:tab/>
          </w:r>
          <w:r>
            <w:fldChar w:fldCharType="begin"/>
          </w:r>
          <w:r>
            <w:instrText xml:space="preserve"> PAGEREF _Toc182642830 \h </w:instrText>
          </w:r>
          <w:r>
            <w:fldChar w:fldCharType="separate"/>
          </w:r>
          <w:r>
            <w:t>32</w:t>
          </w:r>
          <w:r>
            <w:fldChar w:fldCharType="end"/>
          </w:r>
          <w:r>
            <w:fldChar w:fldCharType="end"/>
          </w:r>
        </w:p>
        <w:p w14:paraId="02DC9945">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"_Toc182642831" </w:instrText>
          </w:r>
          <w:r>
            <w:fldChar w:fldCharType="separate"/>
          </w:r>
          <w:r>
            <w:rPr>
              <w:rStyle w:val="17"/>
              <w:rFonts w:cs="Arial"/>
              <w:bCs/>
              <w:lang w:val="es-ES" w:bidi="en-US"/>
              <w14:scene3d>
                <w14:lightRig w14:rig="threePt" w14:dir="t">
                  <w14:rot w14:lat="0" w14:lon="0" w14:rev="0"/>
                </w14:lightRig>
              </w14:scene3d>
            </w:rPr>
            <w:t>7.2</w:t>
          </w:r>
          <w:r>
            <w:rPr>
              <w:rFonts w:asciiTheme="minorHAnsi" w:hAnsiTheme="minorHAnsi" w:eastAsiaTheme="minorEastAsia" w:cstheme="minorBidi"/>
              <w:b w:val="0"/>
              <w:smallCaps w:val="0"/>
              <w:kern w:val="2"/>
              <w:sz w:val="22"/>
              <w:szCs w:val="22"/>
              <w:lang w:val="es-CO" w:eastAsia="es-CO"/>
              <w14:ligatures w14:val="standardContextual"/>
            </w:rPr>
            <w:tab/>
          </w:r>
          <w:r>
            <w:rPr>
              <w:rStyle w:val="17"/>
              <w:rFonts w:cs="Arial"/>
              <w:bCs/>
              <w:lang w:val="es-ES" w:bidi="en-US"/>
            </w:rPr>
            <w:t>Medición:</w:t>
          </w:r>
          <w:r>
            <w:tab/>
          </w:r>
          <w:r>
            <w:fldChar w:fldCharType="begin"/>
          </w:r>
          <w:r>
            <w:instrText xml:space="preserve"> PAGEREF _Toc182642831 \h </w:instrText>
          </w:r>
          <w:r>
            <w:fldChar w:fldCharType="separate"/>
          </w:r>
          <w:r>
            <w:t>33</w:t>
          </w:r>
          <w:r>
            <w:fldChar w:fldCharType="end"/>
          </w:r>
          <w:r>
            <w:fldChar w:fldCharType="end"/>
          </w:r>
        </w:p>
        <w:p w14:paraId="63F08D69">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"_Toc182642832" </w:instrText>
          </w:r>
          <w:r>
            <w:fldChar w:fldCharType="separate"/>
          </w:r>
          <w:r>
            <w:rPr>
              <w:rStyle w:val="17"/>
              <w:rFonts w:cs="Arial"/>
              <w:bCs/>
              <w:lang w:val="es-ES" w:bidi="en-US"/>
              <w14:scene3d>
                <w14:lightRig w14:rig="threePt" w14:dir="t">
                  <w14:rot w14:lat="0" w14:lon="0" w14:rev="0"/>
                </w14:lightRig>
              </w14:scene3d>
            </w:rPr>
            <w:t>7.3</w:t>
          </w:r>
          <w:r>
            <w:rPr>
              <w:rFonts w:asciiTheme="minorHAnsi" w:hAnsiTheme="minorHAnsi" w:eastAsiaTheme="minorEastAsia" w:cstheme="minorBidi"/>
              <w:b w:val="0"/>
              <w:smallCaps w:val="0"/>
              <w:kern w:val="2"/>
              <w:sz w:val="22"/>
              <w:szCs w:val="22"/>
              <w:lang w:val="es-CO" w:eastAsia="es-CO"/>
              <w14:ligatures w14:val="standardContextual"/>
            </w:rPr>
            <w:tab/>
          </w:r>
          <w:r>
            <w:rPr>
              <w:rStyle w:val="17"/>
              <w:rFonts w:cs="Arial"/>
              <w:bCs/>
              <w:lang w:val="es-ES" w:bidi="en-US"/>
            </w:rPr>
            <w:t>Control</w:t>
          </w:r>
          <w:r>
            <w:tab/>
          </w:r>
          <w:r>
            <w:fldChar w:fldCharType="begin"/>
          </w:r>
          <w:r>
            <w:instrText xml:space="preserve"> PAGEREF _Toc182642832 \h </w:instrText>
          </w:r>
          <w:r>
            <w:fldChar w:fldCharType="separate"/>
          </w:r>
          <w:r>
            <w:t>33</w:t>
          </w:r>
          <w:r>
            <w:fldChar w:fldCharType="end"/>
          </w:r>
          <w:r>
            <w:fldChar w:fldCharType="end"/>
          </w:r>
        </w:p>
        <w:p w14:paraId="1E6DDF77">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"_Toc182642833" </w:instrText>
          </w:r>
          <w:r>
            <w:fldChar w:fldCharType="separate"/>
          </w:r>
          <w:r>
            <w:rPr>
              <w:rStyle w:val="17"/>
              <w:rFonts w:cs="Arial"/>
              <w:bCs/>
              <w:lang w:val="es-ES" w:bidi="en-US"/>
              <w14:scene3d>
                <w14:lightRig w14:rig="threePt" w14:dir="t">
                  <w14:rot w14:lat="0" w14:lon="0" w14:rev="0"/>
                </w14:lightRig>
              </w14:scene3d>
            </w:rPr>
            <w:t>7.4</w:t>
          </w:r>
          <w:r>
            <w:rPr>
              <w:rFonts w:asciiTheme="minorHAnsi" w:hAnsiTheme="minorHAnsi" w:eastAsiaTheme="minorEastAsia" w:cstheme="minorBidi"/>
              <w:b w:val="0"/>
              <w:smallCaps w:val="0"/>
              <w:kern w:val="2"/>
              <w:sz w:val="22"/>
              <w:szCs w:val="22"/>
              <w:lang w:val="es-CO" w:eastAsia="es-CO"/>
              <w14:ligatures w14:val="standardContextual"/>
            </w:rPr>
            <w:tab/>
          </w:r>
          <w:r>
            <w:rPr>
              <w:rStyle w:val="17"/>
              <w:rFonts w:cs="Arial"/>
              <w:bCs/>
              <w:lang w:val="es-ES" w:bidi="en-US"/>
            </w:rPr>
            <w:t>Etapa De Monitoreo:</w:t>
          </w:r>
          <w:r>
            <w:tab/>
          </w:r>
          <w:r>
            <w:fldChar w:fldCharType="begin"/>
          </w:r>
          <w:r>
            <w:instrText xml:space="preserve"> PAGEREF _Toc182642833 \h </w:instrText>
          </w:r>
          <w:r>
            <w:fldChar w:fldCharType="separate"/>
          </w:r>
          <w:r>
            <w:t>34</w:t>
          </w:r>
          <w:r>
            <w:fldChar w:fldCharType="end"/>
          </w:r>
          <w:r>
            <w:fldChar w:fldCharType="end"/>
          </w:r>
        </w:p>
        <w:p w14:paraId="7822A0C2">
          <w:pPr>
            <w:pStyle w:val="24"/>
            <w:tabs>
              <w:tab w:val="left" w:pos="624"/>
              <w:tab w:val="right" w:leader="dot" w:pos="8828"/>
            </w:tabs>
            <w:rPr>
              <w:rFonts w:asciiTheme="minorHAnsi" w:hAnsiTheme="minorHAnsi" w:eastAsiaTheme="minorEastAsia" w:cstheme="minorBidi"/>
              <w:b w:val="0"/>
              <w:bCs w:val="0"/>
              <w:spacing w:val="0"/>
              <w:kern w:val="2"/>
              <w:sz w:val="22"/>
              <w:szCs w:val="22"/>
              <w:lang w:val="es-CO" w:eastAsia="es-CO"/>
              <w14:ligatures w14:val="standardContextual"/>
            </w:rPr>
          </w:pPr>
          <w:r>
            <w:fldChar w:fldCharType="begin"/>
          </w:r>
          <w:r>
            <w:instrText xml:space="preserve"> HYPERLINK \l "_Toc182642834" </w:instrText>
          </w:r>
          <w:r>
            <w:fldChar w:fldCharType="separate"/>
          </w:r>
          <w:r>
            <w:rPr>
              <w:rStyle w:val="17"/>
            </w:rPr>
            <w:t>8.</w:t>
          </w:r>
          <w:r>
            <w:rPr>
              <w:rFonts w:asciiTheme="minorHAnsi" w:hAnsiTheme="minorHAnsi" w:eastAsiaTheme="minorEastAsia" w:cstheme="minorBidi"/>
              <w:b w:val="0"/>
              <w:bCs w:val="0"/>
              <w:spacing w:val="0"/>
              <w:kern w:val="2"/>
              <w:sz w:val="22"/>
              <w:szCs w:val="22"/>
              <w:lang w:val="es-CO" w:eastAsia="es-CO"/>
              <w14:ligatures w14:val="standardContextual"/>
            </w:rPr>
            <w:tab/>
          </w:r>
          <w:r>
            <w:rPr>
              <w:rStyle w:val="17"/>
            </w:rPr>
            <w:t>POLITICAS DE OTORGAMIENTO PERSONAS NATURALES</w:t>
          </w:r>
          <w:r>
            <w:tab/>
          </w:r>
          <w:r>
            <w:fldChar w:fldCharType="begin"/>
          </w:r>
          <w:r>
            <w:instrText xml:space="preserve"> PAGEREF _Toc182642834 \h </w:instrText>
          </w:r>
          <w:r>
            <w:fldChar w:fldCharType="separate"/>
          </w:r>
          <w:r>
            <w:t>36</w:t>
          </w:r>
          <w:r>
            <w:fldChar w:fldCharType="end"/>
          </w:r>
          <w:r>
            <w:fldChar w:fldCharType="end"/>
          </w:r>
        </w:p>
        <w:p w14:paraId="637E2C15">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"_Toc182642835" </w:instrText>
          </w:r>
          <w:r>
            <w:fldChar w:fldCharType="separate"/>
          </w:r>
          <w:r>
            <w:rPr>
              <w:rStyle w:val="17"/>
              <w:rFonts w:cs="Arial"/>
              <w:bCs/>
              <w:lang w:val="es-ES" w:bidi="en-US"/>
              <w14:scene3d>
                <w14:lightRig w14:rig="threePt" w14:dir="t">
                  <w14:rot w14:lat="0" w14:lon="0" w14:rev="0"/>
                </w14:lightRig>
              </w14:scene3d>
            </w:rPr>
            <w:t>8.1</w:t>
          </w:r>
          <w:r>
            <w:rPr>
              <w:rFonts w:asciiTheme="minorHAnsi" w:hAnsiTheme="minorHAnsi" w:eastAsiaTheme="minorEastAsia" w:cstheme="minorBidi"/>
              <w:b w:val="0"/>
              <w:smallCaps w:val="0"/>
              <w:kern w:val="2"/>
              <w:sz w:val="22"/>
              <w:szCs w:val="22"/>
              <w:lang w:val="es-CO" w:eastAsia="es-CO"/>
              <w14:ligatures w14:val="standardContextual"/>
            </w:rPr>
            <w:tab/>
          </w:r>
          <w:r>
            <w:rPr>
              <w:rStyle w:val="17"/>
              <w:rFonts w:cs="Arial"/>
              <w:bCs/>
              <w:lang w:val="es-ES" w:bidi="en-US"/>
            </w:rPr>
            <w:t>Entrevista</w:t>
          </w:r>
          <w:r>
            <w:tab/>
          </w:r>
          <w:r>
            <w:fldChar w:fldCharType="begin"/>
          </w:r>
          <w:r>
            <w:instrText xml:space="preserve"> PAGEREF _Toc182642835 \h </w:instrText>
          </w:r>
          <w:r>
            <w:fldChar w:fldCharType="separate"/>
          </w:r>
          <w:r>
            <w:t>40</w:t>
          </w:r>
          <w:r>
            <w:fldChar w:fldCharType="end"/>
          </w:r>
          <w:r>
            <w:fldChar w:fldCharType="end"/>
          </w:r>
        </w:p>
        <w:p w14:paraId="7A6E1A56">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"_Toc182642836" </w:instrText>
          </w:r>
          <w:r>
            <w:fldChar w:fldCharType="separate"/>
          </w:r>
          <w:r>
            <w:rPr>
              <w:rStyle w:val="17"/>
              <w:rFonts w:cs="Arial"/>
              <w:bCs/>
              <w:lang w:val="es-ES" w:bidi="en-US"/>
              <w14:scene3d>
                <w14:lightRig w14:rig="threePt" w14:dir="t">
                  <w14:rot w14:lat="0" w14:lon="0" w14:rev="0"/>
                </w14:lightRig>
              </w14:scene3d>
            </w:rPr>
            <w:t>8.2</w:t>
          </w:r>
          <w:r>
            <w:rPr>
              <w:rFonts w:asciiTheme="minorHAnsi" w:hAnsiTheme="minorHAnsi" w:eastAsiaTheme="minorEastAsia" w:cstheme="minorBidi"/>
              <w:b w:val="0"/>
              <w:smallCaps w:val="0"/>
              <w:kern w:val="2"/>
              <w:sz w:val="22"/>
              <w:szCs w:val="22"/>
              <w:lang w:val="es-CO" w:eastAsia="es-CO"/>
              <w14:ligatures w14:val="standardContextual"/>
            </w:rPr>
            <w:tab/>
          </w:r>
          <w:r>
            <w:rPr>
              <w:rStyle w:val="17"/>
              <w:rFonts w:cs="Arial"/>
              <w:bCs/>
              <w:lang w:val="es-ES" w:bidi="en-US"/>
            </w:rPr>
            <w:t>Documentación Requerida</w:t>
          </w:r>
          <w:r>
            <w:tab/>
          </w:r>
          <w:r>
            <w:fldChar w:fldCharType="begin"/>
          </w:r>
          <w:r>
            <w:instrText xml:space="preserve"> PAGEREF _Toc182642836 \h </w:instrText>
          </w:r>
          <w:r>
            <w:fldChar w:fldCharType="separate"/>
          </w:r>
          <w:r>
            <w:t>41</w:t>
          </w:r>
          <w:r>
            <w:fldChar w:fldCharType="end"/>
          </w:r>
          <w:r>
            <w:fldChar w:fldCharType="end"/>
          </w:r>
        </w:p>
        <w:p w14:paraId="6CF546FB">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"_Toc182642837" </w:instrText>
          </w:r>
          <w:r>
            <w:fldChar w:fldCharType="separate"/>
          </w:r>
          <w:r>
            <w:rPr>
              <w:rStyle w:val="17"/>
              <w:rFonts w:cs="Arial"/>
              <w:bCs/>
              <w:lang w:val="es-ES" w:bidi="en-US"/>
              <w14:scene3d>
                <w14:lightRig w14:rig="threePt" w14:dir="t">
                  <w14:rot w14:lat="0" w14:lon="0" w14:rev="0"/>
                </w14:lightRig>
              </w14:scene3d>
            </w:rPr>
            <w:t>8.3</w:t>
          </w:r>
          <w:r>
            <w:rPr>
              <w:rFonts w:asciiTheme="minorHAnsi" w:hAnsiTheme="minorHAnsi" w:eastAsiaTheme="minorEastAsia" w:cstheme="minorBidi"/>
              <w:b w:val="0"/>
              <w:smallCaps w:val="0"/>
              <w:kern w:val="2"/>
              <w:sz w:val="22"/>
              <w:szCs w:val="22"/>
              <w:lang w:val="es-CO" w:eastAsia="es-CO"/>
              <w14:ligatures w14:val="standardContextual"/>
            </w:rPr>
            <w:tab/>
          </w:r>
          <w:r>
            <w:rPr>
              <w:rStyle w:val="17"/>
              <w:rFonts w:cs="Arial"/>
              <w:bCs/>
              <w:lang w:val="es-ES" w:bidi="en-US"/>
            </w:rPr>
            <w:t>Características del deudor y codeudor</w:t>
          </w:r>
          <w:r>
            <w:tab/>
          </w:r>
          <w:r>
            <w:fldChar w:fldCharType="begin"/>
          </w:r>
          <w:r>
            <w:instrText xml:space="preserve"> PAGEREF _Toc182642837 \h </w:instrText>
          </w:r>
          <w:r>
            <w:fldChar w:fldCharType="separate"/>
          </w:r>
          <w:r>
            <w:t>45</w:t>
          </w:r>
          <w:r>
            <w:fldChar w:fldCharType="end"/>
          </w:r>
          <w:r>
            <w:fldChar w:fldCharType="end"/>
          </w:r>
        </w:p>
        <w:p w14:paraId="18B10133">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"_Toc182642838" </w:instrText>
          </w:r>
          <w:r>
            <w:fldChar w:fldCharType="separate"/>
          </w:r>
          <w:r>
            <w:rPr>
              <w:rStyle w:val="17"/>
              <w:rFonts w:cs="Arial"/>
              <w:bCs/>
              <w:lang w:val="es-ES" w:bidi="en-US"/>
              <w14:scene3d>
                <w14:lightRig w14:rig="threePt" w14:dir="t">
                  <w14:rot w14:lat="0" w14:lon="0" w14:rev="0"/>
                </w14:lightRig>
              </w14:scene3d>
            </w:rPr>
            <w:t>8.4</w:t>
          </w:r>
          <w:r>
            <w:rPr>
              <w:rFonts w:asciiTheme="minorHAnsi" w:hAnsiTheme="minorHAnsi" w:eastAsiaTheme="minorEastAsia" w:cstheme="minorBidi"/>
              <w:b w:val="0"/>
              <w:smallCaps w:val="0"/>
              <w:kern w:val="2"/>
              <w:sz w:val="22"/>
              <w:szCs w:val="22"/>
              <w:lang w:val="es-CO" w:eastAsia="es-CO"/>
              <w14:ligatures w14:val="standardContextual"/>
            </w:rPr>
            <w:tab/>
          </w:r>
          <w:r>
            <w:rPr>
              <w:rStyle w:val="17"/>
              <w:rFonts w:cs="Arial"/>
              <w:bCs/>
              <w:lang w:val="es-ES" w:bidi="en-US"/>
            </w:rPr>
            <w:t>Análisis Del Crédito Personas Naturales</w:t>
          </w:r>
          <w:r>
            <w:tab/>
          </w:r>
          <w:r>
            <w:fldChar w:fldCharType="begin"/>
          </w:r>
          <w:r>
            <w:instrText xml:space="preserve"> PAGEREF _Toc182642838 \h </w:instrText>
          </w:r>
          <w:r>
            <w:fldChar w:fldCharType="separate"/>
          </w:r>
          <w:r>
            <w:t>46</w:t>
          </w:r>
          <w:r>
            <w:fldChar w:fldCharType="end"/>
          </w:r>
          <w:r>
            <w:fldChar w:fldCharType="end"/>
          </w:r>
        </w:p>
        <w:p w14:paraId="5987B84C">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"_Toc182642839" </w:instrText>
          </w:r>
          <w:r>
            <w:fldChar w:fldCharType="separate"/>
          </w:r>
          <w:r>
            <w:rPr>
              <w:rStyle w:val="17"/>
            </w:rPr>
            <w:t>8.3.1 Análisis de la documentación</w:t>
          </w:r>
          <w:r>
            <w:tab/>
          </w:r>
          <w:r>
            <w:fldChar w:fldCharType="begin"/>
          </w:r>
          <w:r>
            <w:instrText xml:space="preserve"> PAGEREF _Toc182642839 \h </w:instrText>
          </w:r>
          <w:r>
            <w:fldChar w:fldCharType="separate"/>
          </w:r>
          <w:r>
            <w:t>47</w:t>
          </w:r>
          <w:r>
            <w:fldChar w:fldCharType="end"/>
          </w:r>
          <w:r>
            <w:fldChar w:fldCharType="end"/>
          </w:r>
        </w:p>
        <w:p w14:paraId="46B63358">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"_Toc182642840" </w:instrText>
          </w:r>
          <w:r>
            <w:fldChar w:fldCharType="separate"/>
          </w:r>
          <w:r>
            <w:rPr>
              <w:rStyle w:val="17"/>
            </w:rPr>
            <w:t>8.3.2 Capacidad de Pago</w:t>
          </w:r>
          <w:r>
            <w:tab/>
          </w:r>
          <w:r>
            <w:fldChar w:fldCharType="begin"/>
          </w:r>
          <w:r>
            <w:instrText xml:space="preserve"> PAGEREF _Toc182642840 \h </w:instrText>
          </w:r>
          <w:r>
            <w:fldChar w:fldCharType="separate"/>
          </w:r>
          <w:r>
            <w:t>47</w:t>
          </w:r>
          <w:r>
            <w:fldChar w:fldCharType="end"/>
          </w:r>
          <w:r>
            <w:fldChar w:fldCharType="end"/>
          </w:r>
        </w:p>
        <w:p w14:paraId="56DC9AD9">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"_Toc182642841" </w:instrText>
          </w:r>
          <w:r>
            <w:fldChar w:fldCharType="separate"/>
          </w:r>
          <w:r>
            <w:rPr>
              <w:rStyle w:val="17"/>
            </w:rPr>
            <w:t>8.3.3 Perfil del deudor</w:t>
          </w:r>
          <w:r>
            <w:tab/>
          </w:r>
          <w:r>
            <w:fldChar w:fldCharType="begin"/>
          </w:r>
          <w:r>
            <w:instrText xml:space="preserve"> PAGEREF _Toc182642841 \h </w:instrText>
          </w:r>
          <w:r>
            <w:fldChar w:fldCharType="separate"/>
          </w:r>
          <w:r>
            <w:t>51</w:t>
          </w:r>
          <w:r>
            <w:fldChar w:fldCharType="end"/>
          </w:r>
          <w:r>
            <w:fldChar w:fldCharType="end"/>
          </w:r>
        </w:p>
        <w:p w14:paraId="682D558A">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"_Toc182642842" </w:instrText>
          </w:r>
          <w:r>
            <w:fldChar w:fldCharType="separate"/>
          </w:r>
          <w:r>
            <w:rPr>
              <w:rStyle w:val="17"/>
              <w:rFonts w:cs="Arial"/>
              <w:bCs/>
              <w:lang w:val="es-ES" w:bidi="en-US"/>
              <w14:scene3d>
                <w14:lightRig w14:rig="threePt" w14:dir="t">
                  <w14:rot w14:lat="0" w14:lon="0" w14:rev="0"/>
                </w14:lightRig>
              </w14:scene3d>
            </w:rPr>
            <w:t>8.5</w:t>
          </w:r>
          <w:r>
            <w:rPr>
              <w:rFonts w:asciiTheme="minorHAnsi" w:hAnsiTheme="minorHAnsi" w:eastAsiaTheme="minorEastAsia" w:cstheme="minorBidi"/>
              <w:b w:val="0"/>
              <w:smallCaps w:val="0"/>
              <w:kern w:val="2"/>
              <w:sz w:val="22"/>
              <w:szCs w:val="22"/>
              <w:lang w:val="es-CO" w:eastAsia="es-CO"/>
              <w14:ligatures w14:val="standardContextual"/>
            </w:rPr>
            <w:tab/>
          </w:r>
          <w:r>
            <w:rPr>
              <w:rStyle w:val="17"/>
              <w:rFonts w:cs="Arial"/>
              <w:bCs/>
              <w:lang w:val="es-ES" w:bidi="en-US"/>
            </w:rPr>
            <w:t>Conceptos en el Análisis De Crédito</w:t>
          </w:r>
          <w:r>
            <w:tab/>
          </w:r>
          <w:r>
            <w:fldChar w:fldCharType="begin"/>
          </w:r>
          <w:r>
            <w:instrText xml:space="preserve"> PAGEREF _Toc182642842 \h </w:instrText>
          </w:r>
          <w:r>
            <w:fldChar w:fldCharType="separate"/>
          </w:r>
          <w:r>
            <w:t>53</w:t>
          </w:r>
          <w:r>
            <w:fldChar w:fldCharType="end"/>
          </w:r>
          <w:r>
            <w:fldChar w:fldCharType="end"/>
          </w:r>
        </w:p>
        <w:p w14:paraId="2E377FC0">
          <w:pPr>
            <w:pStyle w:val="24"/>
            <w:tabs>
              <w:tab w:val="left" w:pos="624"/>
              <w:tab w:val="right" w:leader="dot" w:pos="8828"/>
            </w:tabs>
            <w:rPr>
              <w:rFonts w:asciiTheme="minorHAnsi" w:hAnsiTheme="minorHAnsi" w:eastAsiaTheme="minorEastAsia" w:cstheme="minorBidi"/>
              <w:b w:val="0"/>
              <w:bCs w:val="0"/>
              <w:spacing w:val="0"/>
              <w:kern w:val="2"/>
              <w:sz w:val="22"/>
              <w:szCs w:val="22"/>
              <w:lang w:val="es-CO" w:eastAsia="es-CO"/>
              <w14:ligatures w14:val="standardContextual"/>
            </w:rPr>
          </w:pPr>
          <w:r>
            <w:fldChar w:fldCharType="begin"/>
          </w:r>
          <w:r>
            <w:instrText xml:space="preserve"> HYPERLINK \l "_Toc182642843" </w:instrText>
          </w:r>
          <w:r>
            <w:fldChar w:fldCharType="separate"/>
          </w:r>
          <w:r>
            <w:rPr>
              <w:rStyle w:val="17"/>
            </w:rPr>
            <w:t>9.</w:t>
          </w:r>
          <w:r>
            <w:rPr>
              <w:rFonts w:asciiTheme="minorHAnsi" w:hAnsiTheme="minorHAnsi" w:eastAsiaTheme="minorEastAsia" w:cstheme="minorBidi"/>
              <w:b w:val="0"/>
              <w:bCs w:val="0"/>
              <w:spacing w:val="0"/>
              <w:kern w:val="2"/>
              <w:sz w:val="22"/>
              <w:szCs w:val="22"/>
              <w:lang w:val="es-CO" w:eastAsia="es-CO"/>
              <w14:ligatures w14:val="standardContextual"/>
            </w:rPr>
            <w:tab/>
          </w:r>
          <w:r>
            <w:rPr>
              <w:rStyle w:val="17"/>
            </w:rPr>
            <w:t>POLÍTICAS DE APROBACIÓN DE CRÉDITOS:</w:t>
          </w:r>
          <w:r>
            <w:tab/>
          </w:r>
          <w:r>
            <w:fldChar w:fldCharType="begin"/>
          </w:r>
          <w:r>
            <w:instrText xml:space="preserve"> PAGEREF _Toc182642843 \h </w:instrText>
          </w:r>
          <w:r>
            <w:fldChar w:fldCharType="separate"/>
          </w:r>
          <w:r>
            <w:t>54</w:t>
          </w:r>
          <w:r>
            <w:fldChar w:fldCharType="end"/>
          </w:r>
          <w:r>
            <w:fldChar w:fldCharType="end"/>
          </w:r>
        </w:p>
        <w:p w14:paraId="222CC2D1">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"_Toc182642844" </w:instrText>
          </w:r>
          <w:r>
            <w:fldChar w:fldCharType="separate"/>
          </w:r>
          <w:r>
            <w:rPr>
              <w:rStyle w:val="17"/>
              <w:lang w:bidi="en-US"/>
              <w14:scene3d>
                <w14:lightRig w14:rig="threePt" w14:dir="t">
                  <w14:rot w14:lat="0" w14:lon="0" w14:rev="0"/>
                </w14:lightRig>
              </w14:scene3d>
            </w:rPr>
            <w:t>9.1</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Criterios De Aprobación O Rechazo</w:t>
          </w:r>
          <w:r>
            <w:tab/>
          </w:r>
          <w:r>
            <w:fldChar w:fldCharType="begin"/>
          </w:r>
          <w:r>
            <w:instrText xml:space="preserve"> PAGEREF _Toc182642844 \h </w:instrText>
          </w:r>
          <w:r>
            <w:fldChar w:fldCharType="separate"/>
          </w:r>
          <w:r>
            <w:t>54</w:t>
          </w:r>
          <w:r>
            <w:fldChar w:fldCharType="end"/>
          </w:r>
          <w:r>
            <w:fldChar w:fldCharType="end"/>
          </w:r>
        </w:p>
        <w:p w14:paraId="2A3A8C24">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"_Toc182642845" </w:instrText>
          </w:r>
          <w:r>
            <w:fldChar w:fldCharType="separate"/>
          </w:r>
          <w:r>
            <w:rPr>
              <w:rStyle w:val="17"/>
              <w:lang w:bidi="en-US"/>
              <w14:scene3d>
                <w14:lightRig w14:rig="threePt" w14:dir="t">
                  <w14:rot w14:lat="0" w14:lon="0" w14:rev="0"/>
                </w14:lightRig>
              </w14:scene3d>
            </w:rPr>
            <w:t>9.2</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Solicitud Rechazada</w:t>
          </w:r>
          <w:r>
            <w:tab/>
          </w:r>
          <w:r>
            <w:fldChar w:fldCharType="begin"/>
          </w:r>
          <w:r>
            <w:instrText xml:space="preserve"> PAGEREF _Toc182642845 \h </w:instrText>
          </w:r>
          <w:r>
            <w:fldChar w:fldCharType="separate"/>
          </w:r>
          <w:r>
            <w:t>55</w:t>
          </w:r>
          <w:r>
            <w:fldChar w:fldCharType="end"/>
          </w:r>
          <w:r>
            <w:fldChar w:fldCharType="end"/>
          </w:r>
        </w:p>
        <w:p w14:paraId="231F0E1B">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"_Toc182642846" </w:instrText>
          </w:r>
          <w:r>
            <w:fldChar w:fldCharType="separate"/>
          </w:r>
          <w:r>
            <w:rPr>
              <w:rStyle w:val="17"/>
              <w:lang w:bidi="en-US"/>
              <w14:scene3d>
                <w14:lightRig w14:rig="threePt" w14:dir="t">
                  <w14:rot w14:lat="0" w14:lon="0" w14:rev="0"/>
                </w14:lightRig>
              </w14:scene3d>
            </w:rPr>
            <w:t>9.3</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Decisiones Adoptadas</w:t>
          </w:r>
          <w:r>
            <w:tab/>
          </w:r>
          <w:r>
            <w:fldChar w:fldCharType="begin"/>
          </w:r>
          <w:r>
            <w:instrText xml:space="preserve"> PAGEREF _Toc182642846 \h </w:instrText>
          </w:r>
          <w:r>
            <w:fldChar w:fldCharType="separate"/>
          </w:r>
          <w:r>
            <w:t>56</w:t>
          </w:r>
          <w:r>
            <w:fldChar w:fldCharType="end"/>
          </w:r>
          <w:r>
            <w:fldChar w:fldCharType="end"/>
          </w:r>
        </w:p>
        <w:p w14:paraId="796CF128">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"_Toc182642847" </w:instrText>
          </w:r>
          <w:r>
            <w:fldChar w:fldCharType="separate"/>
          </w:r>
          <w:r>
            <w:rPr>
              <w:rStyle w:val="17"/>
              <w:lang w:bidi="en-US"/>
              <w14:scene3d>
                <w14:lightRig w14:rig="threePt" w14:dir="t">
                  <w14:rot w14:lat="0" w14:lon="0" w14:rev="0"/>
                </w14:lightRig>
              </w14:scene3d>
            </w:rPr>
            <w:t>9.4</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Renovación De Créditos</w:t>
          </w:r>
          <w:r>
            <w:tab/>
          </w:r>
          <w:r>
            <w:fldChar w:fldCharType="begin"/>
          </w:r>
          <w:r>
            <w:instrText xml:space="preserve"> PAGEREF _Toc182642847 \h </w:instrText>
          </w:r>
          <w:r>
            <w:fldChar w:fldCharType="separate"/>
          </w:r>
          <w:r>
            <w:t>56</w:t>
          </w:r>
          <w:r>
            <w:fldChar w:fldCharType="end"/>
          </w:r>
          <w:r>
            <w:fldChar w:fldCharType="end"/>
          </w:r>
        </w:p>
        <w:p w14:paraId="636C7315">
          <w:pPr>
            <w:pStyle w:val="27"/>
            <w:tabs>
              <w:tab w:val="left" w:pos="624"/>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"_Toc182642848" </w:instrText>
          </w:r>
          <w:r>
            <w:fldChar w:fldCharType="separate"/>
          </w:r>
          <w:r>
            <w:rPr>
              <w:rStyle w:val="17"/>
              <w:lang w:bidi="en-US"/>
              <w14:scene3d>
                <w14:lightRig w14:rig="threePt" w14:dir="t">
                  <w14:rot w14:lat="0" w14:lon="0" w14:rev="0"/>
                </w14:lightRig>
              </w14:scene3d>
            </w:rPr>
            <w:t>9.5</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Comunicación</w:t>
          </w:r>
          <w:r>
            <w:tab/>
          </w:r>
          <w:r>
            <w:fldChar w:fldCharType="begin"/>
          </w:r>
          <w:r>
            <w:instrText xml:space="preserve"> PAGEREF _Toc182642848 \h </w:instrText>
          </w:r>
          <w:r>
            <w:fldChar w:fldCharType="separate"/>
          </w:r>
          <w:r>
            <w:t>57</w:t>
          </w:r>
          <w:r>
            <w:fldChar w:fldCharType="end"/>
          </w:r>
          <w:r>
            <w:fldChar w:fldCharType="end"/>
          </w:r>
        </w:p>
        <w:p w14:paraId="5287C7AA">
          <w:pPr>
            <w:pStyle w:val="24"/>
            <w:tabs>
              <w:tab w:val="left" w:pos="624"/>
              <w:tab w:val="right" w:leader="dot" w:pos="8828"/>
            </w:tabs>
            <w:rPr>
              <w:rFonts w:asciiTheme="minorHAnsi" w:hAnsiTheme="minorHAnsi" w:eastAsiaTheme="minorEastAsia" w:cstheme="minorBidi"/>
              <w:b w:val="0"/>
              <w:bCs w:val="0"/>
              <w:spacing w:val="0"/>
              <w:kern w:val="2"/>
              <w:sz w:val="22"/>
              <w:szCs w:val="22"/>
              <w:lang w:val="es-CO" w:eastAsia="es-CO"/>
              <w14:ligatures w14:val="standardContextual"/>
            </w:rPr>
          </w:pPr>
          <w:r>
            <w:fldChar w:fldCharType="begin"/>
          </w:r>
          <w:r>
            <w:instrText xml:space="preserve"> HYPERLINK \l "_Toc182642849" </w:instrText>
          </w:r>
          <w:r>
            <w:fldChar w:fldCharType="separate"/>
          </w:r>
          <w:r>
            <w:rPr>
              <w:rStyle w:val="17"/>
            </w:rPr>
            <w:t>10.</w:t>
          </w:r>
          <w:r>
            <w:rPr>
              <w:rFonts w:asciiTheme="minorHAnsi" w:hAnsiTheme="minorHAnsi" w:eastAsiaTheme="minorEastAsia" w:cstheme="minorBidi"/>
              <w:b w:val="0"/>
              <w:bCs w:val="0"/>
              <w:spacing w:val="0"/>
              <w:kern w:val="2"/>
              <w:sz w:val="22"/>
              <w:szCs w:val="22"/>
              <w:lang w:val="es-CO" w:eastAsia="es-CO"/>
              <w14:ligatures w14:val="standardContextual"/>
            </w:rPr>
            <w:tab/>
          </w:r>
          <w:r>
            <w:rPr>
              <w:rStyle w:val="17"/>
            </w:rPr>
            <w:t>POLÍTICAS PARA EL MANEJO DE GARANTÍAS</w:t>
          </w:r>
          <w:r>
            <w:tab/>
          </w:r>
          <w:r>
            <w:fldChar w:fldCharType="begin"/>
          </w:r>
          <w:r>
            <w:instrText xml:space="preserve"> PAGEREF _Toc182642849 \h </w:instrText>
          </w:r>
          <w:r>
            <w:fldChar w:fldCharType="separate"/>
          </w:r>
          <w:r>
            <w:t>57</w:t>
          </w:r>
          <w:r>
            <w:fldChar w:fldCharType="end"/>
          </w:r>
          <w:r>
            <w:fldChar w:fldCharType="end"/>
          </w:r>
        </w:p>
        <w:p w14:paraId="3E03B932">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"_Toc182642850" </w:instrText>
          </w:r>
          <w:r>
            <w:fldChar w:fldCharType="separate"/>
          </w:r>
          <w:r>
            <w:rPr>
              <w:rStyle w:val="17"/>
              <w:lang w:bidi="en-US"/>
              <w14:scene3d>
                <w14:lightRig w14:rig="threePt" w14:dir="t">
                  <w14:rot w14:lat="0" w14:lon="0" w14:rev="0"/>
                </w14:lightRig>
              </w14:scene3d>
            </w:rPr>
            <w:t>10.1</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Clases de Garantías</w:t>
          </w:r>
          <w:r>
            <w:tab/>
          </w:r>
          <w:r>
            <w:fldChar w:fldCharType="begin"/>
          </w:r>
          <w:r>
            <w:instrText xml:space="preserve"> PAGEREF _Toc182642850 \h </w:instrText>
          </w:r>
          <w:r>
            <w:fldChar w:fldCharType="separate"/>
          </w:r>
          <w:r>
            <w:t>58</w:t>
          </w:r>
          <w:r>
            <w:fldChar w:fldCharType="end"/>
          </w:r>
          <w:r>
            <w:fldChar w:fldCharType="end"/>
          </w:r>
        </w:p>
        <w:p w14:paraId="2FE49758">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"_Toc182642851" </w:instrText>
          </w:r>
          <w:r>
            <w:fldChar w:fldCharType="separate"/>
          </w:r>
          <w:r>
            <w:rPr>
              <w:rStyle w:val="17"/>
            </w:rPr>
            <w:t>10.1.1 Garantía Personal:</w:t>
          </w:r>
          <w:r>
            <w:tab/>
          </w:r>
          <w:r>
            <w:fldChar w:fldCharType="begin"/>
          </w:r>
          <w:r>
            <w:instrText xml:space="preserve"> PAGEREF _Toc182642851 \h </w:instrText>
          </w:r>
          <w:r>
            <w:fldChar w:fldCharType="separate"/>
          </w:r>
          <w:r>
            <w:t>58</w:t>
          </w:r>
          <w:r>
            <w:fldChar w:fldCharType="end"/>
          </w:r>
          <w:r>
            <w:fldChar w:fldCharType="end"/>
          </w:r>
        </w:p>
        <w:p w14:paraId="6F8EDF30">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"_Toc182642852" </w:instrText>
          </w:r>
          <w:r>
            <w:fldChar w:fldCharType="separate"/>
          </w:r>
          <w:r>
            <w:rPr>
              <w:rStyle w:val="17"/>
            </w:rPr>
            <w:t>10.1.2 Garantía Real o Admisible:</w:t>
          </w:r>
          <w:r>
            <w:tab/>
          </w:r>
          <w:r>
            <w:fldChar w:fldCharType="begin"/>
          </w:r>
          <w:r>
            <w:instrText xml:space="preserve"> PAGEREF _Toc182642852 \h </w:instrText>
          </w:r>
          <w:r>
            <w:fldChar w:fldCharType="separate"/>
          </w:r>
          <w:r>
            <w:t>59</w:t>
          </w:r>
          <w:r>
            <w:fldChar w:fldCharType="end"/>
          </w:r>
          <w:r>
            <w:fldChar w:fldCharType="end"/>
          </w:r>
        </w:p>
        <w:p w14:paraId="57151492">
          <w:pPr>
            <w:pStyle w:val="27"/>
            <w:tabs>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"_Toc182642853" </w:instrText>
          </w:r>
          <w:r>
            <w:fldChar w:fldCharType="separate"/>
          </w:r>
          <w:r>
            <w:rPr>
              <w:rStyle w:val="17"/>
              <w:lang w:bidi="en-US"/>
            </w:rPr>
            <w:t>10.2 Cobertura de las Garantías</w:t>
          </w:r>
          <w:r>
            <w:tab/>
          </w:r>
          <w:r>
            <w:fldChar w:fldCharType="begin"/>
          </w:r>
          <w:r>
            <w:instrText xml:space="preserve"> PAGEREF _Toc182642853 \h </w:instrText>
          </w:r>
          <w:r>
            <w:fldChar w:fldCharType="separate"/>
          </w:r>
          <w:r>
            <w:t>60</w:t>
          </w:r>
          <w:r>
            <w:fldChar w:fldCharType="end"/>
          </w:r>
          <w:r>
            <w:fldChar w:fldCharType="end"/>
          </w:r>
        </w:p>
        <w:p w14:paraId="5EC300AD">
          <w:pPr>
            <w:pStyle w:val="24"/>
            <w:tabs>
              <w:tab w:val="left" w:pos="624"/>
              <w:tab w:val="right" w:leader="dot" w:pos="8828"/>
            </w:tabs>
            <w:rPr>
              <w:rFonts w:asciiTheme="minorHAnsi" w:hAnsiTheme="minorHAnsi" w:eastAsiaTheme="minorEastAsia" w:cstheme="minorBidi"/>
              <w:b w:val="0"/>
              <w:bCs w:val="0"/>
              <w:spacing w:val="0"/>
              <w:kern w:val="2"/>
              <w:sz w:val="22"/>
              <w:szCs w:val="22"/>
              <w:lang w:val="es-CO" w:eastAsia="es-CO"/>
              <w14:ligatures w14:val="standardContextual"/>
            </w:rPr>
          </w:pPr>
          <w:r>
            <w:fldChar w:fldCharType="begin"/>
          </w:r>
          <w:r>
            <w:instrText xml:space="preserve"> HYPERLINK \l "_Toc182642854" </w:instrText>
          </w:r>
          <w:r>
            <w:fldChar w:fldCharType="separate"/>
          </w:r>
          <w:r>
            <w:rPr>
              <w:rStyle w:val="17"/>
            </w:rPr>
            <w:t>10.</w:t>
          </w:r>
          <w:r>
            <w:rPr>
              <w:rFonts w:asciiTheme="minorHAnsi" w:hAnsiTheme="minorHAnsi" w:eastAsiaTheme="minorEastAsia" w:cstheme="minorBidi"/>
              <w:b w:val="0"/>
              <w:bCs w:val="0"/>
              <w:spacing w:val="0"/>
              <w:kern w:val="2"/>
              <w:sz w:val="22"/>
              <w:szCs w:val="22"/>
              <w:lang w:val="es-CO" w:eastAsia="es-CO"/>
              <w14:ligatures w14:val="standardContextual"/>
            </w:rPr>
            <w:tab/>
          </w:r>
          <w:r>
            <w:rPr>
              <w:rStyle w:val="17"/>
            </w:rPr>
            <w:t>3 Avalúos</w:t>
          </w:r>
          <w:r>
            <w:tab/>
          </w:r>
          <w:r>
            <w:fldChar w:fldCharType="begin"/>
          </w:r>
          <w:r>
            <w:instrText xml:space="preserve"> PAGEREF _Toc182642854 \h </w:instrText>
          </w:r>
          <w:r>
            <w:fldChar w:fldCharType="separate"/>
          </w:r>
          <w:r>
            <w:t>61</w:t>
          </w:r>
          <w:r>
            <w:fldChar w:fldCharType="end"/>
          </w:r>
          <w:r>
            <w:fldChar w:fldCharType="end"/>
          </w:r>
        </w:p>
        <w:p w14:paraId="79FDCC4E">
          <w:pPr>
            <w:pStyle w:val="27"/>
            <w:tabs>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"_Toc182642855" </w:instrText>
          </w:r>
          <w:r>
            <w:fldChar w:fldCharType="separate"/>
          </w:r>
          <w:r>
            <w:rPr>
              <w:rStyle w:val="17"/>
              <w:lang w:bidi="en-US"/>
            </w:rPr>
            <w:t>10.4 Constitución de Garantías</w:t>
          </w:r>
          <w:r>
            <w:tab/>
          </w:r>
          <w:r>
            <w:fldChar w:fldCharType="begin"/>
          </w:r>
          <w:r>
            <w:instrText xml:space="preserve"> PAGEREF _Toc182642855 \h </w:instrText>
          </w:r>
          <w:r>
            <w:fldChar w:fldCharType="separate"/>
          </w:r>
          <w:r>
            <w:t>65</w:t>
          </w:r>
          <w:r>
            <w:fldChar w:fldCharType="end"/>
          </w:r>
          <w:r>
            <w:fldChar w:fldCharType="end"/>
          </w:r>
        </w:p>
        <w:p w14:paraId="1893B5EA">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"_Toc182642856" </w:instrText>
          </w:r>
          <w:r>
            <w:fldChar w:fldCharType="separate"/>
          </w:r>
          <w:r>
            <w:rPr>
              <w:rStyle w:val="17"/>
              <w:lang w:bidi="en-US"/>
            </w:rPr>
            <w:t>10.4.1 Garantía Hipotecaria</w:t>
          </w:r>
          <w:r>
            <w:tab/>
          </w:r>
          <w:r>
            <w:fldChar w:fldCharType="begin"/>
          </w:r>
          <w:r>
            <w:instrText xml:space="preserve"> PAGEREF _Toc182642856 \h </w:instrText>
          </w:r>
          <w:r>
            <w:fldChar w:fldCharType="separate"/>
          </w:r>
          <w:r>
            <w:t>65</w:t>
          </w:r>
          <w:r>
            <w:fldChar w:fldCharType="end"/>
          </w:r>
          <w:r>
            <w:fldChar w:fldCharType="end"/>
          </w:r>
        </w:p>
        <w:p w14:paraId="75B682EF">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"_Toc182642857" </w:instrText>
          </w:r>
          <w:r>
            <w:fldChar w:fldCharType="separate"/>
          </w:r>
          <w:r>
            <w:rPr>
              <w:rStyle w:val="17"/>
              <w:lang w:bidi="en-US"/>
            </w:rPr>
            <w:t>10.4.2 Prenda sin tenencia</w:t>
          </w:r>
          <w:r>
            <w:tab/>
          </w:r>
          <w:r>
            <w:fldChar w:fldCharType="begin"/>
          </w:r>
          <w:r>
            <w:instrText xml:space="preserve"> PAGEREF _Toc182642857 \h </w:instrText>
          </w:r>
          <w:r>
            <w:fldChar w:fldCharType="separate"/>
          </w:r>
          <w:r>
            <w:t>66</w:t>
          </w:r>
          <w:r>
            <w:fldChar w:fldCharType="end"/>
          </w:r>
          <w:r>
            <w:fldChar w:fldCharType="end"/>
          </w:r>
        </w:p>
        <w:p w14:paraId="75C9FC1D">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"_Toc182642858" </w:instrText>
          </w:r>
          <w:r>
            <w:fldChar w:fldCharType="separate"/>
          </w:r>
          <w:r>
            <w:rPr>
              <w:rStyle w:val="17"/>
              <w:lang w:bidi="en-US"/>
            </w:rPr>
            <w:t>10.4.3 Prenda sobre vehículos</w:t>
          </w:r>
          <w:r>
            <w:tab/>
          </w:r>
          <w:r>
            <w:fldChar w:fldCharType="begin"/>
          </w:r>
          <w:r>
            <w:instrText xml:space="preserve"> PAGEREF _Toc182642858 \h </w:instrText>
          </w:r>
          <w:r>
            <w:fldChar w:fldCharType="separate"/>
          </w:r>
          <w:r>
            <w:t>67</w:t>
          </w:r>
          <w:r>
            <w:fldChar w:fldCharType="end"/>
          </w:r>
          <w:r>
            <w:fldChar w:fldCharType="end"/>
          </w:r>
        </w:p>
        <w:p w14:paraId="60D9D6F3">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"_Toc182642859" </w:instrText>
          </w:r>
          <w:r>
            <w:fldChar w:fldCharType="separate"/>
          </w:r>
          <w:r>
            <w:rPr>
              <w:rStyle w:val="17"/>
              <w:lang w:bidi="en-US"/>
            </w:rPr>
            <w:t>10.4.4 Endoso Certificado de Deposito a Termino</w:t>
          </w:r>
          <w:r>
            <w:tab/>
          </w:r>
          <w:r>
            <w:fldChar w:fldCharType="begin"/>
          </w:r>
          <w:r>
            <w:instrText xml:space="preserve"> PAGEREF _Toc182642859 \h </w:instrText>
          </w:r>
          <w:r>
            <w:fldChar w:fldCharType="separate"/>
          </w:r>
          <w:r>
            <w:t>68</w:t>
          </w:r>
          <w:r>
            <w:fldChar w:fldCharType="end"/>
          </w:r>
          <w:r>
            <w:fldChar w:fldCharType="end"/>
          </w:r>
        </w:p>
        <w:p w14:paraId="20181035">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"_Toc182642860" </w:instrText>
          </w:r>
          <w:r>
            <w:fldChar w:fldCharType="separate"/>
          </w:r>
          <w:r>
            <w:rPr>
              <w:rStyle w:val="17"/>
              <w:lang w:bidi="en-US"/>
            </w:rPr>
            <w:t>10.4.5 Garantías emitidas por fondos de garantías</w:t>
          </w:r>
          <w:r>
            <w:tab/>
          </w:r>
          <w:r>
            <w:fldChar w:fldCharType="begin"/>
          </w:r>
          <w:r>
            <w:instrText xml:space="preserve"> PAGEREF _Toc182642860 \h </w:instrText>
          </w:r>
          <w:r>
            <w:fldChar w:fldCharType="separate"/>
          </w:r>
          <w:r>
            <w:t>68</w:t>
          </w:r>
          <w:r>
            <w:fldChar w:fldCharType="end"/>
          </w:r>
          <w:r>
            <w:fldChar w:fldCharType="end"/>
          </w:r>
        </w:p>
        <w:p w14:paraId="56327242">
          <w:pPr>
            <w:pStyle w:val="27"/>
            <w:tabs>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"_Toc182642861" </w:instrText>
          </w:r>
          <w:r>
            <w:fldChar w:fldCharType="separate"/>
          </w:r>
          <w:r>
            <w:rPr>
              <w:rStyle w:val="17"/>
              <w:lang w:bidi="en-US"/>
            </w:rPr>
            <w:t>10.5 Seguros</w:t>
          </w:r>
          <w:r>
            <w:tab/>
          </w:r>
          <w:r>
            <w:fldChar w:fldCharType="begin"/>
          </w:r>
          <w:r>
            <w:instrText xml:space="preserve"> PAGEREF _Toc182642861 \h </w:instrText>
          </w:r>
          <w:r>
            <w:fldChar w:fldCharType="separate"/>
          </w:r>
          <w:r>
            <w:t>68</w:t>
          </w:r>
          <w:r>
            <w:fldChar w:fldCharType="end"/>
          </w:r>
          <w:r>
            <w:fldChar w:fldCharType="end"/>
          </w:r>
        </w:p>
        <w:p w14:paraId="68561FDF">
          <w:pPr>
            <w:pStyle w:val="27"/>
            <w:tabs>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"_Toc182642862" </w:instrText>
          </w:r>
          <w:r>
            <w:fldChar w:fldCharType="separate"/>
          </w:r>
          <w:r>
            <w:rPr>
              <w:rStyle w:val="17"/>
              <w:lang w:bidi="en-US"/>
            </w:rPr>
            <w:t>10.6 Legalización de Garantías</w:t>
          </w:r>
          <w:r>
            <w:tab/>
          </w:r>
          <w:r>
            <w:fldChar w:fldCharType="begin"/>
          </w:r>
          <w:r>
            <w:instrText xml:space="preserve"> PAGEREF _Toc182642862 \h </w:instrText>
          </w:r>
          <w:r>
            <w:fldChar w:fldCharType="separate"/>
          </w:r>
          <w:r>
            <w:t>69</w:t>
          </w:r>
          <w:r>
            <w:fldChar w:fldCharType="end"/>
          </w:r>
          <w:r>
            <w:fldChar w:fldCharType="end"/>
          </w:r>
        </w:p>
        <w:p w14:paraId="4B119C4E">
          <w:pPr>
            <w:pStyle w:val="27"/>
            <w:tabs>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"_Toc182642863" </w:instrText>
          </w:r>
          <w:r>
            <w:fldChar w:fldCharType="separate"/>
          </w:r>
          <w:r>
            <w:rPr>
              <w:rStyle w:val="17"/>
              <w:lang w:bidi="en-US"/>
            </w:rPr>
            <w:t>10.7 Administración y custodia de las garantías</w:t>
          </w:r>
          <w:r>
            <w:tab/>
          </w:r>
          <w:r>
            <w:fldChar w:fldCharType="begin"/>
          </w:r>
          <w:r>
            <w:instrText xml:space="preserve"> PAGEREF _Toc182642863 \h </w:instrText>
          </w:r>
          <w:r>
            <w:fldChar w:fldCharType="separate"/>
          </w:r>
          <w:r>
            <w:t>70</w:t>
          </w:r>
          <w:r>
            <w:fldChar w:fldCharType="end"/>
          </w:r>
          <w:r>
            <w:fldChar w:fldCharType="end"/>
          </w:r>
        </w:p>
        <w:p w14:paraId="7DA6448F">
          <w:pPr>
            <w:pStyle w:val="24"/>
            <w:tabs>
              <w:tab w:val="left" w:pos="624"/>
              <w:tab w:val="right" w:leader="dot" w:pos="8828"/>
            </w:tabs>
            <w:rPr>
              <w:rFonts w:asciiTheme="minorHAnsi" w:hAnsiTheme="minorHAnsi" w:eastAsiaTheme="minorEastAsia" w:cstheme="minorBidi"/>
              <w:b w:val="0"/>
              <w:bCs w:val="0"/>
              <w:spacing w:val="0"/>
              <w:kern w:val="2"/>
              <w:sz w:val="22"/>
              <w:szCs w:val="22"/>
              <w:lang w:val="es-CO" w:eastAsia="es-CO"/>
              <w14:ligatures w14:val="standardContextual"/>
            </w:rPr>
          </w:pPr>
          <w:r>
            <w:fldChar w:fldCharType="begin"/>
          </w:r>
          <w:r>
            <w:instrText xml:space="preserve"> HYPERLINK \l "_Toc182642864" </w:instrText>
          </w:r>
          <w:r>
            <w:fldChar w:fldCharType="separate"/>
          </w:r>
          <w:r>
            <w:rPr>
              <w:rStyle w:val="17"/>
            </w:rPr>
            <w:t>11.</w:t>
          </w:r>
          <w:r>
            <w:rPr>
              <w:rFonts w:asciiTheme="minorHAnsi" w:hAnsiTheme="minorHAnsi" w:eastAsiaTheme="minorEastAsia" w:cstheme="minorBidi"/>
              <w:b w:val="0"/>
              <w:bCs w:val="0"/>
              <w:spacing w:val="0"/>
              <w:kern w:val="2"/>
              <w:sz w:val="22"/>
              <w:szCs w:val="22"/>
              <w:lang w:val="es-CO" w:eastAsia="es-CO"/>
              <w14:ligatures w14:val="standardContextual"/>
            </w:rPr>
            <w:tab/>
          </w:r>
          <w:r>
            <w:rPr>
              <w:rStyle w:val="17"/>
            </w:rPr>
            <w:t>POLÍTICAS FRENTE A LOS DESEMBOLSOS</w:t>
          </w:r>
          <w:r>
            <w:tab/>
          </w:r>
          <w:r>
            <w:fldChar w:fldCharType="begin"/>
          </w:r>
          <w:r>
            <w:instrText xml:space="preserve"> PAGEREF _Toc182642864 \h </w:instrText>
          </w:r>
          <w:r>
            <w:fldChar w:fldCharType="separate"/>
          </w:r>
          <w:r>
            <w:t>72</w:t>
          </w:r>
          <w:r>
            <w:fldChar w:fldCharType="end"/>
          </w:r>
          <w:r>
            <w:fldChar w:fldCharType="end"/>
          </w:r>
        </w:p>
        <w:p w14:paraId="6EA11530">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"_Toc182642865" </w:instrText>
          </w:r>
          <w:r>
            <w:fldChar w:fldCharType="separate"/>
          </w:r>
          <w:r>
            <w:rPr>
              <w:rStyle w:val="17"/>
              <w:lang w:bidi="en-US"/>
              <w14:scene3d>
                <w14:lightRig w14:rig="threePt" w14:dir="t">
                  <w14:rot w14:lat="0" w14:lon="0" w14:rev="0"/>
                </w14:lightRig>
              </w14:scene3d>
            </w:rPr>
            <w:t>11.1</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Prerrequisitos Para El Desembolso</w:t>
          </w:r>
          <w:r>
            <w:tab/>
          </w:r>
          <w:r>
            <w:fldChar w:fldCharType="begin"/>
          </w:r>
          <w:r>
            <w:instrText xml:space="preserve"> PAGEREF _Toc182642865 \h </w:instrText>
          </w:r>
          <w:r>
            <w:fldChar w:fldCharType="separate"/>
          </w:r>
          <w:r>
            <w:t>73</w:t>
          </w:r>
          <w:r>
            <w:fldChar w:fldCharType="end"/>
          </w:r>
          <w:r>
            <w:fldChar w:fldCharType="end"/>
          </w:r>
        </w:p>
        <w:p w14:paraId="34B6BA5D">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"_Toc182642866" </w:instrText>
          </w:r>
          <w:r>
            <w:fldChar w:fldCharType="separate"/>
          </w:r>
          <w:r>
            <w:rPr>
              <w:rStyle w:val="17"/>
              <w:lang w:bidi="en-US"/>
              <w14:scene3d>
                <w14:lightRig w14:rig="threePt" w14:dir="t">
                  <w14:rot w14:lat="0" w14:lon="0" w14:rev="0"/>
                </w14:lightRig>
              </w14:scene3d>
            </w:rPr>
            <w:t>11.2</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Información Previa Al Desembolso</w:t>
          </w:r>
          <w:r>
            <w:tab/>
          </w:r>
          <w:r>
            <w:fldChar w:fldCharType="begin"/>
          </w:r>
          <w:r>
            <w:instrText xml:space="preserve"> PAGEREF _Toc182642866 \h </w:instrText>
          </w:r>
          <w:r>
            <w:fldChar w:fldCharType="separate"/>
          </w:r>
          <w:r>
            <w:t>73</w:t>
          </w:r>
          <w:r>
            <w:fldChar w:fldCharType="end"/>
          </w:r>
          <w:r>
            <w:fldChar w:fldCharType="end"/>
          </w:r>
        </w:p>
        <w:p w14:paraId="6118593A">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"_Toc182642867" </w:instrText>
          </w:r>
          <w:r>
            <w:fldChar w:fldCharType="separate"/>
          </w:r>
          <w:r>
            <w:rPr>
              <w:rStyle w:val="17"/>
              <w:lang w:bidi="en-US"/>
              <w14:scene3d>
                <w14:lightRig w14:rig="threePt" w14:dir="t">
                  <w14:rot w14:lat="0" w14:lon="0" w14:rev="0"/>
                </w14:lightRig>
              </w14:scene3d>
            </w:rPr>
            <w:t>11.3</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Diligenciamiento Del Pagare</w:t>
          </w:r>
          <w:r>
            <w:tab/>
          </w:r>
          <w:r>
            <w:fldChar w:fldCharType="begin"/>
          </w:r>
          <w:r>
            <w:instrText xml:space="preserve"> PAGEREF _Toc182642867 \h </w:instrText>
          </w:r>
          <w:r>
            <w:fldChar w:fldCharType="separate"/>
          </w:r>
          <w:r>
            <w:t>75</w:t>
          </w:r>
          <w:r>
            <w:fldChar w:fldCharType="end"/>
          </w:r>
          <w:r>
            <w:fldChar w:fldCharType="end"/>
          </w:r>
        </w:p>
        <w:p w14:paraId="7E23DEEF">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"_Toc182642868" </w:instrText>
          </w:r>
          <w:r>
            <w:fldChar w:fldCharType="separate"/>
          </w:r>
          <w:r>
            <w:rPr>
              <w:rStyle w:val="17"/>
              <w:lang w:bidi="en-US"/>
              <w14:scene3d>
                <w14:lightRig w14:rig="threePt" w14:dir="t">
                  <w14:rot w14:lat="0" w14:lon="0" w14:rev="0"/>
                </w14:lightRig>
              </w14:scene3d>
            </w:rPr>
            <w:t>11.4</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Disposiciones Generales Para El Desembolso</w:t>
          </w:r>
          <w:r>
            <w:tab/>
          </w:r>
          <w:r>
            <w:fldChar w:fldCharType="begin"/>
          </w:r>
          <w:r>
            <w:instrText xml:space="preserve"> PAGEREF _Toc182642868 \h </w:instrText>
          </w:r>
          <w:r>
            <w:fldChar w:fldCharType="separate"/>
          </w:r>
          <w:r>
            <w:t>76</w:t>
          </w:r>
          <w:r>
            <w:fldChar w:fldCharType="end"/>
          </w:r>
          <w:r>
            <w:fldChar w:fldCharType="end"/>
          </w:r>
        </w:p>
        <w:p w14:paraId="412C60FF">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"_Toc182642869" </w:instrText>
          </w:r>
          <w:r>
            <w:fldChar w:fldCharType="separate"/>
          </w:r>
          <w:r>
            <w:rPr>
              <w:rStyle w:val="17"/>
              <w:lang w:bidi="en-US"/>
              <w14:scene3d>
                <w14:lightRig w14:rig="threePt" w14:dir="t">
                  <w14:rot w14:lat="0" w14:lon="0" w14:rev="0"/>
                </w14:lightRig>
              </w14:scene3d>
            </w:rPr>
            <w:t>11.5</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Seguro De Vida Deudores</w:t>
          </w:r>
          <w:r>
            <w:tab/>
          </w:r>
          <w:r>
            <w:fldChar w:fldCharType="begin"/>
          </w:r>
          <w:r>
            <w:instrText xml:space="preserve"> PAGEREF _Toc182642869 \h </w:instrText>
          </w:r>
          <w:r>
            <w:fldChar w:fldCharType="separate"/>
          </w:r>
          <w:r>
            <w:t>76</w:t>
          </w:r>
          <w:r>
            <w:fldChar w:fldCharType="end"/>
          </w:r>
          <w:r>
            <w:fldChar w:fldCharType="end"/>
          </w:r>
        </w:p>
        <w:p w14:paraId="5E91FF4F">
          <w:pPr>
            <w:pStyle w:val="24"/>
            <w:tabs>
              <w:tab w:val="left" w:pos="624"/>
              <w:tab w:val="right" w:leader="dot" w:pos="8828"/>
            </w:tabs>
            <w:rPr>
              <w:rFonts w:asciiTheme="minorHAnsi" w:hAnsiTheme="minorHAnsi" w:eastAsiaTheme="minorEastAsia" w:cstheme="minorBidi"/>
              <w:b w:val="0"/>
              <w:bCs w:val="0"/>
              <w:spacing w:val="0"/>
              <w:kern w:val="2"/>
              <w:sz w:val="22"/>
              <w:szCs w:val="22"/>
              <w:lang w:val="es-CO" w:eastAsia="es-CO"/>
              <w14:ligatures w14:val="standardContextual"/>
            </w:rPr>
          </w:pPr>
          <w:r>
            <w:fldChar w:fldCharType="begin"/>
          </w:r>
          <w:r>
            <w:instrText xml:space="preserve"> HYPERLINK \l "_Toc182642870" </w:instrText>
          </w:r>
          <w:r>
            <w:fldChar w:fldCharType="separate"/>
          </w:r>
          <w:r>
            <w:rPr>
              <w:rStyle w:val="17"/>
            </w:rPr>
            <w:t>12.</w:t>
          </w:r>
          <w:r>
            <w:rPr>
              <w:rFonts w:asciiTheme="minorHAnsi" w:hAnsiTheme="minorHAnsi" w:eastAsiaTheme="minorEastAsia" w:cstheme="minorBidi"/>
              <w:b w:val="0"/>
              <w:bCs w:val="0"/>
              <w:spacing w:val="0"/>
              <w:kern w:val="2"/>
              <w:sz w:val="22"/>
              <w:szCs w:val="22"/>
              <w:lang w:val="es-CO" w:eastAsia="es-CO"/>
              <w14:ligatures w14:val="standardContextual"/>
            </w:rPr>
            <w:tab/>
          </w:r>
          <w:r>
            <w:rPr>
              <w:rStyle w:val="17"/>
            </w:rPr>
            <w:t>GESTIÓN DE COBRANZA</w:t>
          </w:r>
          <w:r>
            <w:tab/>
          </w:r>
          <w:r>
            <w:fldChar w:fldCharType="begin"/>
          </w:r>
          <w:r>
            <w:instrText xml:space="preserve"> PAGEREF _Toc182642870 \h </w:instrText>
          </w:r>
          <w:r>
            <w:fldChar w:fldCharType="separate"/>
          </w:r>
          <w:r>
            <w:t>77</w:t>
          </w:r>
          <w:r>
            <w:fldChar w:fldCharType="end"/>
          </w:r>
          <w:r>
            <w:fldChar w:fldCharType="end"/>
          </w:r>
        </w:p>
        <w:p w14:paraId="21FC7063">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"_Toc182642871" </w:instrText>
          </w:r>
          <w:r>
            <w:fldChar w:fldCharType="separate"/>
          </w:r>
          <w:r>
            <w:rPr>
              <w:rStyle w:val="17"/>
              <w:lang w:bidi="en-US"/>
              <w14:scene3d>
                <w14:lightRig w14:rig="threePt" w14:dir="t">
                  <w14:rot w14:lat="0" w14:lon="0" w14:rev="0"/>
                </w14:lightRig>
              </w14:scene3d>
            </w:rPr>
            <w:t>12.1</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Responsables De La Gestión De Cobranza</w:t>
          </w:r>
          <w:r>
            <w:tab/>
          </w:r>
          <w:r>
            <w:fldChar w:fldCharType="begin"/>
          </w:r>
          <w:r>
            <w:instrText xml:space="preserve"> PAGEREF _Toc182642871 \h </w:instrText>
          </w:r>
          <w:r>
            <w:fldChar w:fldCharType="separate"/>
          </w:r>
          <w:r>
            <w:t>78</w:t>
          </w:r>
          <w:r>
            <w:fldChar w:fldCharType="end"/>
          </w:r>
          <w:r>
            <w:fldChar w:fldCharType="end"/>
          </w:r>
        </w:p>
        <w:p w14:paraId="6C705503">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"_Toc182642872" </w:instrText>
          </w:r>
          <w:r>
            <w:fldChar w:fldCharType="separate"/>
          </w:r>
          <w:r>
            <w:rPr>
              <w:rStyle w:val="17"/>
              <w:lang w:bidi="en-US"/>
              <w14:scene3d>
                <w14:lightRig w14:rig="threePt" w14:dir="t">
                  <w14:rot w14:lat="0" w14:lon="0" w14:rev="0"/>
                </w14:lightRig>
              </w14:scene3d>
            </w:rPr>
            <w:t>12.2</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Proceso De Cobro</w:t>
          </w:r>
          <w:r>
            <w:tab/>
          </w:r>
          <w:r>
            <w:fldChar w:fldCharType="begin"/>
          </w:r>
          <w:r>
            <w:instrText xml:space="preserve"> PAGEREF _Toc182642872 \h </w:instrText>
          </w:r>
          <w:r>
            <w:fldChar w:fldCharType="separate"/>
          </w:r>
          <w:r>
            <w:t>78</w:t>
          </w:r>
          <w:r>
            <w:fldChar w:fldCharType="end"/>
          </w:r>
          <w:r>
            <w:fldChar w:fldCharType="end"/>
          </w:r>
        </w:p>
        <w:p w14:paraId="2C7A4622">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"_Toc182642873" </w:instrText>
          </w:r>
          <w:r>
            <w:fldChar w:fldCharType="separate"/>
          </w:r>
          <w:r>
            <w:rPr>
              <w:rStyle w:val="17"/>
            </w:rPr>
            <w:t>12.2.1 Avisos De Vencimiento</w:t>
          </w:r>
          <w:r>
            <w:tab/>
          </w:r>
          <w:r>
            <w:fldChar w:fldCharType="begin"/>
          </w:r>
          <w:r>
            <w:instrText xml:space="preserve"> PAGEREF _Toc182642873 \h </w:instrText>
          </w:r>
          <w:r>
            <w:fldChar w:fldCharType="separate"/>
          </w:r>
          <w:r>
            <w:t>80</w:t>
          </w:r>
          <w:r>
            <w:fldChar w:fldCharType="end"/>
          </w:r>
          <w:r>
            <w:fldChar w:fldCharType="end"/>
          </w:r>
        </w:p>
        <w:p w14:paraId="69E14B82">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"_Toc182642874" </w:instrText>
          </w:r>
          <w:r>
            <w:fldChar w:fldCharType="separate"/>
          </w:r>
          <w:r>
            <w:rPr>
              <w:rStyle w:val="17"/>
            </w:rPr>
            <w:t>12.2.2 Llamada Telefónica</w:t>
          </w:r>
          <w:r>
            <w:tab/>
          </w:r>
          <w:r>
            <w:fldChar w:fldCharType="begin"/>
          </w:r>
          <w:r>
            <w:instrText xml:space="preserve"> PAGEREF _Toc182642874 \h </w:instrText>
          </w:r>
          <w:r>
            <w:fldChar w:fldCharType="separate"/>
          </w:r>
          <w:r>
            <w:t>81</w:t>
          </w:r>
          <w:r>
            <w:fldChar w:fldCharType="end"/>
          </w:r>
          <w:r>
            <w:fldChar w:fldCharType="end"/>
          </w:r>
        </w:p>
        <w:p w14:paraId="031AAD2C">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"_Toc182642875" </w:instrText>
          </w:r>
          <w:r>
            <w:fldChar w:fldCharType="separate"/>
          </w:r>
          <w:r>
            <w:rPr>
              <w:rStyle w:val="17"/>
            </w:rPr>
            <w:t>12.2.3 Mensaje de texto, Correo Electrónico y/o WhatsApp</w:t>
          </w:r>
          <w:r>
            <w:tab/>
          </w:r>
          <w:r>
            <w:fldChar w:fldCharType="begin"/>
          </w:r>
          <w:r>
            <w:instrText xml:space="preserve"> PAGEREF _Toc182642875 \h </w:instrText>
          </w:r>
          <w:r>
            <w:fldChar w:fldCharType="separate"/>
          </w:r>
          <w:r>
            <w:t>81</w:t>
          </w:r>
          <w:r>
            <w:fldChar w:fldCharType="end"/>
          </w:r>
          <w:r>
            <w:fldChar w:fldCharType="end"/>
          </w:r>
        </w:p>
        <w:p w14:paraId="31721686">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"_Toc182642876" </w:instrText>
          </w:r>
          <w:r>
            <w:fldChar w:fldCharType="separate"/>
          </w:r>
          <w:r>
            <w:rPr>
              <w:rStyle w:val="17"/>
            </w:rPr>
            <w:t>12.2.4 Visita Personal</w:t>
          </w:r>
          <w:r>
            <w:tab/>
          </w:r>
          <w:r>
            <w:fldChar w:fldCharType="begin"/>
          </w:r>
          <w:r>
            <w:instrText xml:space="preserve"> PAGEREF _Toc182642876 \h </w:instrText>
          </w:r>
          <w:r>
            <w:fldChar w:fldCharType="separate"/>
          </w:r>
          <w:r>
            <w:t>81</w:t>
          </w:r>
          <w:r>
            <w:fldChar w:fldCharType="end"/>
          </w:r>
          <w:r>
            <w:fldChar w:fldCharType="end"/>
          </w:r>
        </w:p>
        <w:p w14:paraId="00D6EC9A">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"_Toc182642877" </w:instrText>
          </w:r>
          <w:r>
            <w:fldChar w:fldCharType="separate"/>
          </w:r>
          <w:r>
            <w:rPr>
              <w:rStyle w:val="17"/>
            </w:rPr>
            <w:t>12.2.5 Cobro Prejurídico</w:t>
          </w:r>
          <w:r>
            <w:tab/>
          </w:r>
          <w:r>
            <w:fldChar w:fldCharType="begin"/>
          </w:r>
          <w:r>
            <w:instrText xml:space="preserve"> PAGEREF _Toc182642877 \h </w:instrText>
          </w:r>
          <w:r>
            <w:fldChar w:fldCharType="separate"/>
          </w:r>
          <w:r>
            <w:t>81</w:t>
          </w:r>
          <w:r>
            <w:fldChar w:fldCharType="end"/>
          </w:r>
          <w:r>
            <w:fldChar w:fldCharType="end"/>
          </w:r>
        </w:p>
        <w:p w14:paraId="503F72DC">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"_Toc182642878" </w:instrText>
          </w:r>
          <w:r>
            <w:fldChar w:fldCharType="separate"/>
          </w:r>
          <w:r>
            <w:rPr>
              <w:rStyle w:val="17"/>
            </w:rPr>
            <w:t>12.2.6 Utilización De Herramientas Jurídicas</w:t>
          </w:r>
          <w:r>
            <w:tab/>
          </w:r>
          <w:r>
            <w:fldChar w:fldCharType="begin"/>
          </w:r>
          <w:r>
            <w:instrText xml:space="preserve"> PAGEREF _Toc182642878 \h </w:instrText>
          </w:r>
          <w:r>
            <w:fldChar w:fldCharType="separate"/>
          </w:r>
          <w:r>
            <w:t>81</w:t>
          </w:r>
          <w:r>
            <w:fldChar w:fldCharType="end"/>
          </w:r>
          <w:r>
            <w:fldChar w:fldCharType="end"/>
          </w:r>
        </w:p>
        <w:p w14:paraId="2D26547D">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"_Toc182642879" </w:instrText>
          </w:r>
          <w:r>
            <w:fldChar w:fldCharType="separate"/>
          </w:r>
          <w:r>
            <w:rPr>
              <w:rStyle w:val="17"/>
            </w:rPr>
            <w:t>12.2.7 Presentación de informes de abogado</w:t>
          </w:r>
          <w:r>
            <w:tab/>
          </w:r>
          <w:r>
            <w:fldChar w:fldCharType="begin"/>
          </w:r>
          <w:r>
            <w:instrText xml:space="preserve"> PAGEREF _Toc182642879 \h </w:instrText>
          </w:r>
          <w:r>
            <w:fldChar w:fldCharType="separate"/>
          </w:r>
          <w:r>
            <w:t>84</w:t>
          </w:r>
          <w:r>
            <w:fldChar w:fldCharType="end"/>
          </w:r>
          <w:r>
            <w:fldChar w:fldCharType="end"/>
          </w:r>
        </w:p>
        <w:p w14:paraId="32841A4D">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"_Toc182642880" </w:instrText>
          </w:r>
          <w:r>
            <w:fldChar w:fldCharType="separate"/>
          </w:r>
          <w:r>
            <w:rPr>
              <w:rStyle w:val="17"/>
            </w:rPr>
            <w:t>12.2.8 Recomendaciones especiales de procedimiento</w:t>
          </w:r>
          <w:r>
            <w:tab/>
          </w:r>
          <w:r>
            <w:fldChar w:fldCharType="begin"/>
          </w:r>
          <w:r>
            <w:instrText xml:space="preserve"> PAGEREF _Toc182642880 \h </w:instrText>
          </w:r>
          <w:r>
            <w:fldChar w:fldCharType="separate"/>
          </w:r>
          <w:r>
            <w:t>85</w:t>
          </w:r>
          <w:r>
            <w:fldChar w:fldCharType="end"/>
          </w:r>
          <w:r>
            <w:fldChar w:fldCharType="end"/>
          </w:r>
        </w:p>
        <w:p w14:paraId="10F1BC1D">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"_Toc182642881" </w:instrText>
          </w:r>
          <w:r>
            <w:fldChar w:fldCharType="separate"/>
          </w:r>
          <w:r>
            <w:rPr>
              <w:rStyle w:val="17"/>
            </w:rPr>
            <w:t>12.2.9 Pos Demanda</w:t>
          </w:r>
          <w:r>
            <w:tab/>
          </w:r>
          <w:r>
            <w:fldChar w:fldCharType="begin"/>
          </w:r>
          <w:r>
            <w:instrText xml:space="preserve"> PAGEREF _Toc182642881 \h </w:instrText>
          </w:r>
          <w:r>
            <w:fldChar w:fldCharType="separate"/>
          </w:r>
          <w:r>
            <w:t>86</w:t>
          </w:r>
          <w:r>
            <w:fldChar w:fldCharType="end"/>
          </w:r>
          <w:r>
            <w:fldChar w:fldCharType="end"/>
          </w:r>
        </w:p>
        <w:p w14:paraId="24CA6A98">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"_Toc182642882" </w:instrText>
          </w:r>
          <w:r>
            <w:fldChar w:fldCharType="separate"/>
          </w:r>
          <w:r>
            <w:rPr>
              <w:rStyle w:val="17"/>
            </w:rPr>
            <w:t>12.2.10 Reporte a las centrales de riesgos</w:t>
          </w:r>
          <w:r>
            <w:tab/>
          </w:r>
          <w:r>
            <w:fldChar w:fldCharType="begin"/>
          </w:r>
          <w:r>
            <w:instrText xml:space="preserve"> PAGEREF _Toc182642882 \h </w:instrText>
          </w:r>
          <w:r>
            <w:fldChar w:fldCharType="separate"/>
          </w:r>
          <w:r>
            <w:t>86</w:t>
          </w:r>
          <w:r>
            <w:fldChar w:fldCharType="end"/>
          </w:r>
          <w:r>
            <w:fldChar w:fldCharType="end"/>
          </w:r>
        </w:p>
        <w:p w14:paraId="04681CB1">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"_Toc182642883" </w:instrText>
          </w:r>
          <w:r>
            <w:fldChar w:fldCharType="separate"/>
          </w:r>
          <w:r>
            <w:rPr>
              <w:rStyle w:val="17"/>
              <w:lang w:bidi="en-US"/>
              <w14:scene3d>
                <w14:lightRig w14:rig="threePt" w14:dir="t">
                  <w14:rot w14:lat="0" w14:lon="0" w14:rev="0"/>
                </w14:lightRig>
              </w14:scene3d>
            </w:rPr>
            <w:t>12.3</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Labor Del Auxiliar Administrativo de Crédito y Cartera</w:t>
          </w:r>
          <w:r>
            <w:tab/>
          </w:r>
          <w:r>
            <w:fldChar w:fldCharType="begin"/>
          </w:r>
          <w:r>
            <w:instrText xml:space="preserve"> PAGEREF _Toc182642883 \h </w:instrText>
          </w:r>
          <w:r>
            <w:fldChar w:fldCharType="separate"/>
          </w:r>
          <w:r>
            <w:t>86</w:t>
          </w:r>
          <w:r>
            <w:fldChar w:fldCharType="end"/>
          </w:r>
          <w:r>
            <w:fldChar w:fldCharType="end"/>
          </w:r>
        </w:p>
        <w:p w14:paraId="2921731E">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"_Toc182642884" </w:instrText>
          </w:r>
          <w:r>
            <w:fldChar w:fldCharType="separate"/>
          </w:r>
          <w:r>
            <w:rPr>
              <w:rStyle w:val="17"/>
              <w:lang w:bidi="en-US"/>
              <w14:scene3d>
                <w14:lightRig w14:rig="threePt" w14:dir="t">
                  <w14:rot w14:lat="0" w14:lon="0" w14:rev="0"/>
                </w14:lightRig>
              </w14:scene3d>
            </w:rPr>
            <w:t>12.4</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Cronograma de Gestión de Cobro</w:t>
          </w:r>
          <w:r>
            <w:tab/>
          </w:r>
          <w:r>
            <w:fldChar w:fldCharType="begin"/>
          </w:r>
          <w:r>
            <w:instrText xml:space="preserve"> PAGEREF _Toc182642884 \h </w:instrText>
          </w:r>
          <w:r>
            <w:fldChar w:fldCharType="separate"/>
          </w:r>
          <w:r>
            <w:t>87</w:t>
          </w:r>
          <w:r>
            <w:fldChar w:fldCharType="end"/>
          </w:r>
          <w:r>
            <w:fldChar w:fldCharType="end"/>
          </w:r>
        </w:p>
        <w:p w14:paraId="0349FDF3">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"_Toc182642885" </w:instrText>
          </w:r>
          <w:r>
            <w:fldChar w:fldCharType="separate"/>
          </w:r>
          <w:r>
            <w:rPr>
              <w:rStyle w:val="17"/>
              <w:lang w:bidi="en-US"/>
              <w14:scene3d>
                <w14:lightRig w14:rig="threePt" w14:dir="t">
                  <w14:rot w14:lat="0" w14:lon="0" w14:rev="0"/>
                </w14:lightRig>
              </w14:scene3d>
            </w:rPr>
            <w:t>12.5</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Morosidad de Créditos en Funcionarios</w:t>
          </w:r>
          <w:r>
            <w:tab/>
          </w:r>
          <w:r>
            <w:fldChar w:fldCharType="begin"/>
          </w:r>
          <w:r>
            <w:instrText xml:space="preserve"> PAGEREF _Toc182642885 \h </w:instrText>
          </w:r>
          <w:r>
            <w:fldChar w:fldCharType="separate"/>
          </w:r>
          <w:r>
            <w:t>87</w:t>
          </w:r>
          <w:r>
            <w:fldChar w:fldCharType="end"/>
          </w:r>
          <w:r>
            <w:fldChar w:fldCharType="end"/>
          </w:r>
        </w:p>
        <w:p w14:paraId="48A001A8">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"_Toc182642886" </w:instrText>
          </w:r>
          <w:r>
            <w:fldChar w:fldCharType="separate"/>
          </w:r>
          <w:r>
            <w:rPr>
              <w:rStyle w:val="17"/>
              <w:lang w:bidi="en-US"/>
              <w14:scene3d>
                <w14:lightRig w14:rig="threePt" w14:dir="t">
                  <w14:rot w14:lat="0" w14:lon="0" w14:rev="0"/>
                </w14:lightRig>
              </w14:scene3d>
            </w:rPr>
            <w:t>12.6</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Terminación del Proceso</w:t>
          </w:r>
          <w:r>
            <w:tab/>
          </w:r>
          <w:r>
            <w:fldChar w:fldCharType="begin"/>
          </w:r>
          <w:r>
            <w:instrText xml:space="preserve"> PAGEREF _Toc182642886 \h </w:instrText>
          </w:r>
          <w:r>
            <w:fldChar w:fldCharType="separate"/>
          </w:r>
          <w:r>
            <w:t>87</w:t>
          </w:r>
          <w:r>
            <w:fldChar w:fldCharType="end"/>
          </w:r>
          <w:r>
            <w:fldChar w:fldCharType="end"/>
          </w:r>
        </w:p>
        <w:p w14:paraId="3D6C7495">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"_Toc182642887" </w:instrText>
          </w:r>
          <w:r>
            <w:fldChar w:fldCharType="separate"/>
          </w:r>
          <w:r>
            <w:rPr>
              <w:rStyle w:val="17"/>
              <w:lang w:bidi="en-US"/>
            </w:rPr>
            <w:t>12.6.1 Remates</w:t>
          </w:r>
          <w:r>
            <w:tab/>
          </w:r>
          <w:r>
            <w:fldChar w:fldCharType="begin"/>
          </w:r>
          <w:r>
            <w:instrText xml:space="preserve"> PAGEREF _Toc182642887 \h </w:instrText>
          </w:r>
          <w:r>
            <w:fldChar w:fldCharType="separate"/>
          </w:r>
          <w:r>
            <w:t>87</w:t>
          </w:r>
          <w:r>
            <w:fldChar w:fldCharType="end"/>
          </w:r>
          <w:r>
            <w:fldChar w:fldCharType="end"/>
          </w:r>
        </w:p>
        <w:p w14:paraId="04C14DDA">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"_Toc182642888" </w:instrText>
          </w:r>
          <w:r>
            <w:fldChar w:fldCharType="separate"/>
          </w:r>
          <w:r>
            <w:rPr>
              <w:rStyle w:val="17"/>
              <w:lang w:bidi="en-US"/>
            </w:rPr>
            <w:t>12.6.2 Prohibiciones Especiales</w:t>
          </w:r>
          <w:r>
            <w:tab/>
          </w:r>
          <w:r>
            <w:fldChar w:fldCharType="begin"/>
          </w:r>
          <w:r>
            <w:instrText xml:space="preserve"> PAGEREF _Toc182642888 \h </w:instrText>
          </w:r>
          <w:r>
            <w:fldChar w:fldCharType="separate"/>
          </w:r>
          <w:r>
            <w:t>88</w:t>
          </w:r>
          <w:r>
            <w:fldChar w:fldCharType="end"/>
          </w:r>
          <w:r>
            <w:fldChar w:fldCharType="end"/>
          </w:r>
        </w:p>
        <w:p w14:paraId="06D44FE2">
          <w:pPr>
            <w:pStyle w:val="24"/>
            <w:tabs>
              <w:tab w:val="left" w:pos="624"/>
              <w:tab w:val="right" w:leader="dot" w:pos="8828"/>
            </w:tabs>
            <w:rPr>
              <w:rFonts w:asciiTheme="minorHAnsi" w:hAnsiTheme="minorHAnsi" w:eastAsiaTheme="minorEastAsia" w:cstheme="minorBidi"/>
              <w:b w:val="0"/>
              <w:bCs w:val="0"/>
              <w:spacing w:val="0"/>
              <w:kern w:val="2"/>
              <w:sz w:val="22"/>
              <w:szCs w:val="22"/>
              <w:lang w:val="es-CO" w:eastAsia="es-CO"/>
              <w14:ligatures w14:val="standardContextual"/>
            </w:rPr>
          </w:pPr>
          <w:r>
            <w:fldChar w:fldCharType="begin"/>
          </w:r>
          <w:r>
            <w:instrText xml:space="preserve"> HYPERLINK \l "_Toc182642889" </w:instrText>
          </w:r>
          <w:r>
            <w:fldChar w:fldCharType="separate"/>
          </w:r>
          <w:r>
            <w:rPr>
              <w:rStyle w:val="17"/>
            </w:rPr>
            <w:t>13.</w:t>
          </w:r>
          <w:r>
            <w:rPr>
              <w:rFonts w:asciiTheme="minorHAnsi" w:hAnsiTheme="minorHAnsi" w:eastAsiaTheme="minorEastAsia" w:cstheme="minorBidi"/>
              <w:b w:val="0"/>
              <w:bCs w:val="0"/>
              <w:spacing w:val="0"/>
              <w:kern w:val="2"/>
              <w:sz w:val="22"/>
              <w:szCs w:val="22"/>
              <w:lang w:val="es-CO" w:eastAsia="es-CO"/>
              <w14:ligatures w14:val="standardContextual"/>
            </w:rPr>
            <w:tab/>
          </w:r>
          <w:r>
            <w:rPr>
              <w:rStyle w:val="17"/>
            </w:rPr>
            <w:t>NORMALIZACIÓN DE LA CARTERA:</w:t>
          </w:r>
          <w:r>
            <w:tab/>
          </w:r>
          <w:r>
            <w:fldChar w:fldCharType="begin"/>
          </w:r>
          <w:r>
            <w:instrText xml:space="preserve"> PAGEREF _Toc182642889 \h </w:instrText>
          </w:r>
          <w:r>
            <w:fldChar w:fldCharType="separate"/>
          </w:r>
          <w:r>
            <w:t>89</w:t>
          </w:r>
          <w:r>
            <w:fldChar w:fldCharType="end"/>
          </w:r>
          <w:r>
            <w:fldChar w:fldCharType="end"/>
          </w:r>
        </w:p>
        <w:p w14:paraId="1A09409C">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"_Toc182642890" </w:instrText>
          </w:r>
          <w:r>
            <w:fldChar w:fldCharType="separate"/>
          </w:r>
          <w:r>
            <w:rPr>
              <w:rStyle w:val="17"/>
              <w:lang w:bidi="en-US"/>
              <w14:scene3d>
                <w14:lightRig w14:rig="threePt" w14:dir="t">
                  <w14:rot w14:lat="0" w14:lon="0" w14:rev="0"/>
                </w14:lightRig>
              </w14:scene3d>
            </w:rPr>
            <w:t>13.1</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Estamentos para definir normalizaciones</w:t>
          </w:r>
          <w:r>
            <w:tab/>
          </w:r>
          <w:r>
            <w:fldChar w:fldCharType="begin"/>
          </w:r>
          <w:r>
            <w:instrText xml:space="preserve"> PAGEREF _Toc182642890 \h </w:instrText>
          </w:r>
          <w:r>
            <w:fldChar w:fldCharType="separate"/>
          </w:r>
          <w:r>
            <w:t>89</w:t>
          </w:r>
          <w:r>
            <w:fldChar w:fldCharType="end"/>
          </w:r>
          <w:r>
            <w:fldChar w:fldCharType="end"/>
          </w:r>
        </w:p>
        <w:p w14:paraId="70005A4A">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"_Toc182642891" </w:instrText>
          </w:r>
          <w:r>
            <w:fldChar w:fldCharType="separate"/>
          </w:r>
          <w:r>
            <w:rPr>
              <w:rStyle w:val="17"/>
              <w:lang w:bidi="en-US"/>
              <w14:scene3d>
                <w14:lightRig w14:rig="threePt" w14:dir="t">
                  <w14:rot w14:lat="0" w14:lon="0" w14:rev="0"/>
                </w14:lightRig>
              </w14:scene3d>
            </w:rPr>
            <w:t>13.2</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Negociación recaudo cartera en cobro judicial</w:t>
          </w:r>
          <w:r>
            <w:tab/>
          </w:r>
          <w:r>
            <w:fldChar w:fldCharType="begin"/>
          </w:r>
          <w:r>
            <w:instrText xml:space="preserve"> PAGEREF _Toc182642891 \h </w:instrText>
          </w:r>
          <w:r>
            <w:fldChar w:fldCharType="separate"/>
          </w:r>
          <w:r>
            <w:t>89</w:t>
          </w:r>
          <w:r>
            <w:fldChar w:fldCharType="end"/>
          </w:r>
          <w:r>
            <w:fldChar w:fldCharType="end"/>
          </w:r>
        </w:p>
        <w:p w14:paraId="5894BCDF">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"_Toc182642892" </w:instrText>
          </w:r>
          <w:r>
            <w:fldChar w:fldCharType="separate"/>
          </w:r>
          <w:r>
            <w:rPr>
              <w:rStyle w:val="17"/>
              <w:lang w:bidi="en-US"/>
              <w14:scene3d>
                <w14:lightRig w14:rig="threePt" w14:dir="t">
                  <w14:rot w14:lat="0" w14:lon="0" w14:rev="0"/>
                </w14:lightRig>
              </w14:scene3d>
            </w:rPr>
            <w:t>13.3</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Acuerdo de Pago</w:t>
          </w:r>
          <w:r>
            <w:tab/>
          </w:r>
          <w:r>
            <w:fldChar w:fldCharType="begin"/>
          </w:r>
          <w:r>
            <w:instrText xml:space="preserve"> PAGEREF _Toc182642892 \h </w:instrText>
          </w:r>
          <w:r>
            <w:fldChar w:fldCharType="separate"/>
          </w:r>
          <w:r>
            <w:t>90</w:t>
          </w:r>
          <w:r>
            <w:fldChar w:fldCharType="end"/>
          </w:r>
          <w:r>
            <w:fldChar w:fldCharType="end"/>
          </w:r>
        </w:p>
        <w:p w14:paraId="5D1E97BE">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"_Toc182642893" </w:instrText>
          </w:r>
          <w:r>
            <w:fldChar w:fldCharType="separate"/>
          </w:r>
          <w:r>
            <w:rPr>
              <w:rStyle w:val="17"/>
              <w:lang w:bidi="en-US"/>
              <w14:scene3d>
                <w14:lightRig w14:rig="threePt" w14:dir="t">
                  <w14:rot w14:lat="0" w14:lon="0" w14:rev="0"/>
                </w14:lightRig>
              </w14:scene3d>
            </w:rPr>
            <w:t>13.4</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Compromisos de Pago</w:t>
          </w:r>
          <w:r>
            <w:tab/>
          </w:r>
          <w:r>
            <w:fldChar w:fldCharType="begin"/>
          </w:r>
          <w:r>
            <w:instrText xml:space="preserve"> PAGEREF _Toc182642893 \h </w:instrText>
          </w:r>
          <w:r>
            <w:fldChar w:fldCharType="separate"/>
          </w:r>
          <w:r>
            <w:t>90</w:t>
          </w:r>
          <w:r>
            <w:fldChar w:fldCharType="end"/>
          </w:r>
          <w:r>
            <w:fldChar w:fldCharType="end"/>
          </w:r>
        </w:p>
        <w:p w14:paraId="79B040F7">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"_Toc182642894" </w:instrText>
          </w:r>
          <w:r>
            <w:fldChar w:fldCharType="separate"/>
          </w:r>
          <w:r>
            <w:rPr>
              <w:rStyle w:val="17"/>
              <w:lang w:bidi="en-US"/>
              <w14:scene3d>
                <w14:lightRig w14:rig="threePt" w14:dir="t">
                  <w14:rot w14:lat="0" w14:lon="0" w14:rev="0"/>
                </w14:lightRig>
              </w14:scene3d>
            </w:rPr>
            <w:t>13.5</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Reestructuraciones</w:t>
          </w:r>
          <w:r>
            <w:tab/>
          </w:r>
          <w:r>
            <w:fldChar w:fldCharType="begin"/>
          </w:r>
          <w:r>
            <w:instrText xml:space="preserve"> PAGEREF _Toc182642894 \h </w:instrText>
          </w:r>
          <w:r>
            <w:fldChar w:fldCharType="separate"/>
          </w:r>
          <w:r>
            <w:t>90</w:t>
          </w:r>
          <w:r>
            <w:fldChar w:fldCharType="end"/>
          </w:r>
          <w:r>
            <w:fldChar w:fldCharType="end"/>
          </w:r>
        </w:p>
        <w:p w14:paraId="79B947FA">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"_Toc182642895" </w:instrText>
          </w:r>
          <w:r>
            <w:fldChar w:fldCharType="separate"/>
          </w:r>
          <w:r>
            <w:rPr>
              <w:rStyle w:val="17"/>
              <w:lang w:bidi="en-US"/>
            </w:rPr>
            <w:t>13.5.1 Variantes</w:t>
          </w:r>
          <w:r>
            <w:tab/>
          </w:r>
          <w:r>
            <w:fldChar w:fldCharType="begin"/>
          </w:r>
          <w:r>
            <w:instrText xml:space="preserve"> PAGEREF _Toc182642895 \h </w:instrText>
          </w:r>
          <w:r>
            <w:fldChar w:fldCharType="separate"/>
          </w:r>
          <w:r>
            <w:t>93</w:t>
          </w:r>
          <w:r>
            <w:fldChar w:fldCharType="end"/>
          </w:r>
          <w:r>
            <w:fldChar w:fldCharType="end"/>
          </w:r>
        </w:p>
        <w:p w14:paraId="540B3296">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"_Toc182642896" </w:instrText>
          </w:r>
          <w:r>
            <w:fldChar w:fldCharType="separate"/>
          </w:r>
          <w:r>
            <w:rPr>
              <w:rStyle w:val="17"/>
              <w:lang w:bidi="en-US"/>
            </w:rPr>
            <w:t>13.5.2 Aspectos Contables</w:t>
          </w:r>
          <w:r>
            <w:tab/>
          </w:r>
          <w:r>
            <w:fldChar w:fldCharType="begin"/>
          </w:r>
          <w:r>
            <w:instrText xml:space="preserve"> PAGEREF _Toc182642896 \h </w:instrText>
          </w:r>
          <w:r>
            <w:fldChar w:fldCharType="separate"/>
          </w:r>
          <w:r>
            <w:t>94</w:t>
          </w:r>
          <w:r>
            <w:fldChar w:fldCharType="end"/>
          </w:r>
          <w:r>
            <w:fldChar w:fldCharType="end"/>
          </w:r>
        </w:p>
        <w:p w14:paraId="4CA08C91">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"_Toc182642897" </w:instrText>
          </w:r>
          <w:r>
            <w:fldChar w:fldCharType="separate"/>
          </w:r>
          <w:r>
            <w:rPr>
              <w:rStyle w:val="17"/>
              <w:lang w:bidi="en-US"/>
              <w14:scene3d>
                <w14:lightRig w14:rig="threePt" w14:dir="t">
                  <w14:rot w14:lat="0" w14:lon="0" w14:rev="0"/>
                </w14:lightRig>
              </w14:scene3d>
            </w:rPr>
            <w:t>13.6</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Pago por la modalidad de dación en pago</w:t>
          </w:r>
          <w:r>
            <w:tab/>
          </w:r>
          <w:r>
            <w:fldChar w:fldCharType="begin"/>
          </w:r>
          <w:r>
            <w:instrText xml:space="preserve"> PAGEREF _Toc182642897 \h </w:instrText>
          </w:r>
          <w:r>
            <w:fldChar w:fldCharType="separate"/>
          </w:r>
          <w:r>
            <w:t>95</w:t>
          </w:r>
          <w:r>
            <w:fldChar w:fldCharType="end"/>
          </w:r>
          <w:r>
            <w:fldChar w:fldCharType="end"/>
          </w:r>
        </w:p>
        <w:p w14:paraId="463D7BFB">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"_Toc182642898" </w:instrText>
          </w:r>
          <w:r>
            <w:fldChar w:fldCharType="separate"/>
          </w:r>
          <w:r>
            <w:rPr>
              <w:rStyle w:val="17"/>
              <w:lang w:bidi="en-US"/>
              <w14:scene3d>
                <w14:lightRig w14:rig="threePt" w14:dir="t">
                  <w14:rot w14:lat="0" w14:lon="0" w14:rev="0"/>
                </w14:lightRig>
              </w14:scene3d>
            </w:rPr>
            <w:t>13.7</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Modificaciones a los Créditos</w:t>
          </w:r>
          <w:r>
            <w:tab/>
          </w:r>
          <w:r>
            <w:fldChar w:fldCharType="begin"/>
          </w:r>
          <w:r>
            <w:instrText xml:space="preserve"> PAGEREF _Toc182642898 \h </w:instrText>
          </w:r>
          <w:r>
            <w:fldChar w:fldCharType="separate"/>
          </w:r>
          <w:r>
            <w:t>98</w:t>
          </w:r>
          <w:r>
            <w:fldChar w:fldCharType="end"/>
          </w:r>
          <w:r>
            <w:fldChar w:fldCharType="end"/>
          </w:r>
        </w:p>
        <w:p w14:paraId="3FCA15D7">
          <w:pPr>
            <w:pStyle w:val="24"/>
            <w:tabs>
              <w:tab w:val="left" w:pos="624"/>
              <w:tab w:val="right" w:leader="dot" w:pos="8828"/>
            </w:tabs>
            <w:rPr>
              <w:rFonts w:asciiTheme="minorHAnsi" w:hAnsiTheme="minorHAnsi" w:eastAsiaTheme="minorEastAsia" w:cstheme="minorBidi"/>
              <w:b w:val="0"/>
              <w:bCs w:val="0"/>
              <w:spacing w:val="0"/>
              <w:kern w:val="2"/>
              <w:sz w:val="22"/>
              <w:szCs w:val="22"/>
              <w:lang w:val="es-CO" w:eastAsia="es-CO"/>
              <w14:ligatures w14:val="standardContextual"/>
            </w:rPr>
          </w:pPr>
          <w:r>
            <w:fldChar w:fldCharType="begin"/>
          </w:r>
          <w:r>
            <w:instrText xml:space="preserve"> HYPERLINK \l "_Toc182642899" </w:instrText>
          </w:r>
          <w:r>
            <w:fldChar w:fldCharType="separate"/>
          </w:r>
          <w:r>
            <w:rPr>
              <w:rStyle w:val="17"/>
            </w:rPr>
            <w:t>14.</w:t>
          </w:r>
          <w:r>
            <w:rPr>
              <w:rFonts w:asciiTheme="minorHAnsi" w:hAnsiTheme="minorHAnsi" w:eastAsiaTheme="minorEastAsia" w:cstheme="minorBidi"/>
              <w:b w:val="0"/>
              <w:bCs w:val="0"/>
              <w:spacing w:val="0"/>
              <w:kern w:val="2"/>
              <w:sz w:val="22"/>
              <w:szCs w:val="22"/>
              <w:lang w:val="es-CO" w:eastAsia="es-CO"/>
              <w14:ligatures w14:val="standardContextual"/>
            </w:rPr>
            <w:tab/>
          </w:r>
          <w:r>
            <w:rPr>
              <w:rStyle w:val="17"/>
            </w:rPr>
            <w:t>CASTIGOS</w:t>
          </w:r>
          <w:r>
            <w:tab/>
          </w:r>
          <w:r>
            <w:fldChar w:fldCharType="begin"/>
          </w:r>
          <w:r>
            <w:instrText xml:space="preserve"> PAGEREF _Toc182642899 \h </w:instrText>
          </w:r>
          <w:r>
            <w:fldChar w:fldCharType="separate"/>
          </w:r>
          <w:r>
            <w:t>101</w:t>
          </w:r>
          <w:r>
            <w:fldChar w:fldCharType="end"/>
          </w:r>
          <w:r>
            <w:fldChar w:fldCharType="end"/>
          </w:r>
        </w:p>
        <w:p w14:paraId="46B4A1C9">
          <w:pPr>
            <w:pStyle w:val="24"/>
            <w:tabs>
              <w:tab w:val="left" w:pos="624"/>
              <w:tab w:val="right" w:leader="dot" w:pos="8828"/>
            </w:tabs>
            <w:rPr>
              <w:rFonts w:asciiTheme="minorHAnsi" w:hAnsiTheme="minorHAnsi" w:eastAsiaTheme="minorEastAsia" w:cstheme="minorBidi"/>
              <w:b w:val="0"/>
              <w:bCs w:val="0"/>
              <w:spacing w:val="0"/>
              <w:kern w:val="2"/>
              <w:sz w:val="22"/>
              <w:szCs w:val="22"/>
              <w:lang w:val="es-CO" w:eastAsia="es-CO"/>
              <w14:ligatures w14:val="standardContextual"/>
            </w:rPr>
          </w:pPr>
          <w:r>
            <w:fldChar w:fldCharType="begin"/>
          </w:r>
          <w:r>
            <w:instrText xml:space="preserve"> HYPERLINK \l "_Toc182642900" </w:instrText>
          </w:r>
          <w:r>
            <w:fldChar w:fldCharType="separate"/>
          </w:r>
          <w:r>
            <w:rPr>
              <w:rStyle w:val="17"/>
            </w:rPr>
            <w:t>15.</w:t>
          </w:r>
          <w:r>
            <w:rPr>
              <w:rFonts w:asciiTheme="minorHAnsi" w:hAnsiTheme="minorHAnsi" w:eastAsiaTheme="minorEastAsia" w:cstheme="minorBidi"/>
              <w:b w:val="0"/>
              <w:bCs w:val="0"/>
              <w:spacing w:val="0"/>
              <w:kern w:val="2"/>
              <w:sz w:val="22"/>
              <w:szCs w:val="22"/>
              <w:lang w:val="es-CO" w:eastAsia="es-CO"/>
              <w14:ligatures w14:val="standardContextual"/>
            </w:rPr>
            <w:tab/>
          </w:r>
          <w:r>
            <w:rPr>
              <w:rStyle w:val="17"/>
            </w:rPr>
            <w:t>SEGUIMIENTO Y CONTROL</w:t>
          </w:r>
          <w:r>
            <w:tab/>
          </w:r>
          <w:r>
            <w:fldChar w:fldCharType="begin"/>
          </w:r>
          <w:r>
            <w:instrText xml:space="preserve"> PAGEREF _Toc182642900 \h </w:instrText>
          </w:r>
          <w:r>
            <w:fldChar w:fldCharType="separate"/>
          </w:r>
          <w:r>
            <w:t>104</w:t>
          </w:r>
          <w:r>
            <w:fldChar w:fldCharType="end"/>
          </w:r>
          <w:r>
            <w:fldChar w:fldCharType="end"/>
          </w:r>
        </w:p>
        <w:p w14:paraId="1AAF7D34">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"_Toc182642901" </w:instrText>
          </w:r>
          <w:r>
            <w:fldChar w:fldCharType="separate"/>
          </w:r>
          <w:r>
            <w:rPr>
              <w:rStyle w:val="17"/>
              <w:lang w:bidi="en-US"/>
              <w14:scene3d>
                <w14:lightRig w14:rig="threePt" w14:dir="t">
                  <w14:rot w14:lat="0" w14:lon="0" w14:rev="0"/>
                </w14:lightRig>
              </w14:scene3d>
            </w:rPr>
            <w:t>15.1</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Monitoreo a la cartera:</w:t>
          </w:r>
          <w:r>
            <w:tab/>
          </w:r>
          <w:r>
            <w:fldChar w:fldCharType="begin"/>
          </w:r>
          <w:r>
            <w:instrText xml:space="preserve"> PAGEREF _Toc182642901 \h </w:instrText>
          </w:r>
          <w:r>
            <w:fldChar w:fldCharType="separate"/>
          </w:r>
          <w:r>
            <w:t>104</w:t>
          </w:r>
          <w:r>
            <w:fldChar w:fldCharType="end"/>
          </w:r>
          <w:r>
            <w:fldChar w:fldCharType="end"/>
          </w:r>
        </w:p>
        <w:p w14:paraId="5962FDEB">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"_Toc182642902" </w:instrText>
          </w:r>
          <w:r>
            <w:fldChar w:fldCharType="separate"/>
          </w:r>
          <w:r>
            <w:rPr>
              <w:rStyle w:val="17"/>
            </w:rPr>
            <w:t>15.1.1 Matrices de Transición:</w:t>
          </w:r>
          <w:r>
            <w:tab/>
          </w:r>
          <w:r>
            <w:fldChar w:fldCharType="begin"/>
          </w:r>
          <w:r>
            <w:instrText xml:space="preserve"> PAGEREF _Toc182642902 \h </w:instrText>
          </w:r>
          <w:r>
            <w:fldChar w:fldCharType="separate"/>
          </w:r>
          <w:r>
            <w:t>104</w:t>
          </w:r>
          <w:r>
            <w:fldChar w:fldCharType="end"/>
          </w:r>
          <w:r>
            <w:fldChar w:fldCharType="end"/>
          </w:r>
        </w:p>
        <w:p w14:paraId="45B40BE5">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"_Toc182642903" </w:instrText>
          </w:r>
          <w:r>
            <w:fldChar w:fldCharType="separate"/>
          </w:r>
          <w:r>
            <w:rPr>
              <w:rStyle w:val="17"/>
            </w:rPr>
            <w:t>15.1.2 Análisis de Cosechas</w:t>
          </w:r>
          <w:r>
            <w:tab/>
          </w:r>
          <w:r>
            <w:fldChar w:fldCharType="begin"/>
          </w:r>
          <w:r>
            <w:instrText xml:space="preserve"> PAGEREF _Toc182642903 \h </w:instrText>
          </w:r>
          <w:r>
            <w:fldChar w:fldCharType="separate"/>
          </w:r>
          <w:r>
            <w:t>104</w:t>
          </w:r>
          <w:r>
            <w:fldChar w:fldCharType="end"/>
          </w:r>
          <w:r>
            <w:fldChar w:fldCharType="end"/>
          </w:r>
        </w:p>
        <w:p w14:paraId="27391CC5">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"_Toc182642904" </w:instrText>
          </w:r>
          <w:r>
            <w:fldChar w:fldCharType="separate"/>
          </w:r>
          <w:r>
            <w:rPr>
              <w:rStyle w:val="17"/>
            </w:rPr>
            <w:t>15.1.3 Seguimiento de la cartera</w:t>
          </w:r>
          <w:r>
            <w:tab/>
          </w:r>
          <w:r>
            <w:fldChar w:fldCharType="begin"/>
          </w:r>
          <w:r>
            <w:instrText xml:space="preserve"> PAGEREF _Toc182642904 \h </w:instrText>
          </w:r>
          <w:r>
            <w:fldChar w:fldCharType="separate"/>
          </w:r>
          <w:r>
            <w:t>104</w:t>
          </w:r>
          <w:r>
            <w:fldChar w:fldCharType="end"/>
          </w:r>
          <w:r>
            <w:fldChar w:fldCharType="end"/>
          </w:r>
        </w:p>
        <w:p w14:paraId="55117D78">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"_Toc182642905" </w:instrText>
          </w:r>
          <w:r>
            <w:fldChar w:fldCharType="separate"/>
          </w:r>
          <w:r>
            <w:rPr>
              <w:rStyle w:val="17"/>
            </w:rPr>
            <w:t>15.1.4 Indicadores de morosidad</w:t>
          </w:r>
          <w:r>
            <w:tab/>
          </w:r>
          <w:r>
            <w:fldChar w:fldCharType="begin"/>
          </w:r>
          <w:r>
            <w:instrText xml:space="preserve"> PAGEREF _Toc182642905 \h </w:instrText>
          </w:r>
          <w:r>
            <w:fldChar w:fldCharType="separate"/>
          </w:r>
          <w:r>
            <w:t>104</w:t>
          </w:r>
          <w:r>
            <w:fldChar w:fldCharType="end"/>
          </w:r>
          <w:r>
            <w:fldChar w:fldCharType="end"/>
          </w:r>
        </w:p>
        <w:p w14:paraId="1B073E83">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"_Toc182642906" </w:instrText>
          </w:r>
          <w:r>
            <w:fldChar w:fldCharType="separate"/>
          </w:r>
          <w:r>
            <w:rPr>
              <w:rStyle w:val="17"/>
            </w:rPr>
            <w:t>15.1.5 Cartera Judicializada</w:t>
          </w:r>
          <w:r>
            <w:tab/>
          </w:r>
          <w:r>
            <w:fldChar w:fldCharType="begin"/>
          </w:r>
          <w:r>
            <w:instrText xml:space="preserve"> PAGEREF _Toc182642906 \h </w:instrText>
          </w:r>
          <w:r>
            <w:fldChar w:fldCharType="separate"/>
          </w:r>
          <w:r>
            <w:t>104</w:t>
          </w:r>
          <w:r>
            <w:fldChar w:fldCharType="end"/>
          </w:r>
          <w:r>
            <w:fldChar w:fldCharType="end"/>
          </w:r>
        </w:p>
        <w:p w14:paraId="7FF5D9DD">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"_Toc182642907" </w:instrText>
          </w:r>
          <w:r>
            <w:fldChar w:fldCharType="separate"/>
          </w:r>
          <w:r>
            <w:rPr>
              <w:rStyle w:val="17"/>
            </w:rPr>
            <w:t>15.1.6 Informe SARC</w:t>
          </w:r>
          <w:r>
            <w:tab/>
          </w:r>
          <w:r>
            <w:fldChar w:fldCharType="begin"/>
          </w:r>
          <w:r>
            <w:instrText xml:space="preserve"> PAGEREF _Toc182642907 \h </w:instrText>
          </w:r>
          <w:r>
            <w:fldChar w:fldCharType="separate"/>
          </w:r>
          <w:r>
            <w:t>104</w:t>
          </w:r>
          <w:r>
            <w:fldChar w:fldCharType="end"/>
          </w:r>
          <w:r>
            <w:fldChar w:fldCharType="end"/>
          </w:r>
        </w:p>
        <w:p w14:paraId="15B3EEEB">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"_Toc182642908" </w:instrText>
          </w:r>
          <w:r>
            <w:fldChar w:fldCharType="separate"/>
          </w:r>
          <w:r>
            <w:rPr>
              <w:rStyle w:val="17"/>
            </w:rPr>
            <w:t>15.1.7 Pruebas de estrés</w:t>
          </w:r>
          <w:r>
            <w:tab/>
          </w:r>
          <w:r>
            <w:fldChar w:fldCharType="begin"/>
          </w:r>
          <w:r>
            <w:instrText xml:space="preserve"> PAGEREF _Toc182642908 \h </w:instrText>
          </w:r>
          <w:r>
            <w:fldChar w:fldCharType="separate"/>
          </w:r>
          <w:r>
            <w:t>104</w:t>
          </w:r>
          <w:r>
            <w:fldChar w:fldCharType="end"/>
          </w:r>
          <w:r>
            <w:fldChar w:fldCharType="end"/>
          </w:r>
        </w:p>
        <w:p w14:paraId="32E17C1F">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"_Toc182642909" </w:instrText>
          </w:r>
          <w:r>
            <w:fldChar w:fldCharType="separate"/>
          </w:r>
          <w:r>
            <w:rPr>
              <w:rStyle w:val="17"/>
              <w:lang w:bidi="en-US"/>
              <w14:scene3d>
                <w14:lightRig w14:rig="threePt" w14:dir="t">
                  <w14:rot w14:lat="0" w14:lon="0" w14:rev="0"/>
                </w14:lightRig>
              </w14:scene3d>
            </w:rPr>
            <w:t>15.2</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Evaluación y calificación de cartera</w:t>
          </w:r>
          <w:r>
            <w:tab/>
          </w:r>
          <w:r>
            <w:fldChar w:fldCharType="begin"/>
          </w:r>
          <w:r>
            <w:instrText xml:space="preserve"> PAGEREF _Toc182642909 \h </w:instrText>
          </w:r>
          <w:r>
            <w:fldChar w:fldCharType="separate"/>
          </w:r>
          <w:r>
            <w:t>105</w:t>
          </w:r>
          <w:r>
            <w:fldChar w:fldCharType="end"/>
          </w:r>
          <w:r>
            <w:fldChar w:fldCharType="end"/>
          </w:r>
        </w:p>
        <w:p w14:paraId="0F63876F">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"_Toc182642910" </w:instrText>
          </w:r>
          <w:r>
            <w:fldChar w:fldCharType="separate"/>
          </w:r>
          <w:r>
            <w:rPr>
              <w:rStyle w:val="17"/>
              <w:lang w:bidi="en-US"/>
            </w:rPr>
            <w:t>15.2.1 Objetivo</w:t>
          </w:r>
          <w:r>
            <w:tab/>
          </w:r>
          <w:r>
            <w:fldChar w:fldCharType="begin"/>
          </w:r>
          <w:r>
            <w:instrText xml:space="preserve"> PAGEREF _Toc182642910 \h </w:instrText>
          </w:r>
          <w:r>
            <w:fldChar w:fldCharType="separate"/>
          </w:r>
          <w:r>
            <w:t>105</w:t>
          </w:r>
          <w:r>
            <w:fldChar w:fldCharType="end"/>
          </w:r>
          <w:r>
            <w:fldChar w:fldCharType="end"/>
          </w:r>
        </w:p>
        <w:p w14:paraId="784F5C73">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"_Toc182642911" </w:instrText>
          </w:r>
          <w:r>
            <w:fldChar w:fldCharType="separate"/>
          </w:r>
          <w:r>
            <w:rPr>
              <w:rStyle w:val="17"/>
              <w:lang w:bidi="en-US"/>
            </w:rPr>
            <w:t>15.2.2 Instancias responsables de la evaluación y calificación de cartera</w:t>
          </w:r>
          <w:r>
            <w:tab/>
          </w:r>
          <w:r>
            <w:fldChar w:fldCharType="begin"/>
          </w:r>
          <w:r>
            <w:instrText xml:space="preserve"> PAGEREF _Toc182642911 \h </w:instrText>
          </w:r>
          <w:r>
            <w:fldChar w:fldCharType="separate"/>
          </w:r>
          <w:r>
            <w:t>105</w:t>
          </w:r>
          <w:r>
            <w:fldChar w:fldCharType="end"/>
          </w:r>
          <w:r>
            <w:fldChar w:fldCharType="end"/>
          </w:r>
        </w:p>
        <w:p w14:paraId="179AB1A6">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"_Toc182642912" </w:instrText>
          </w:r>
          <w:r>
            <w:fldChar w:fldCharType="separate"/>
          </w:r>
          <w:r>
            <w:rPr>
              <w:rStyle w:val="17"/>
              <w:lang w:bidi="en-US"/>
            </w:rPr>
            <w:t>15.2.3 Criterios de evaluación</w:t>
          </w:r>
          <w:r>
            <w:tab/>
          </w:r>
          <w:r>
            <w:fldChar w:fldCharType="begin"/>
          </w:r>
          <w:r>
            <w:instrText xml:space="preserve"> PAGEREF _Toc182642912 \h </w:instrText>
          </w:r>
          <w:r>
            <w:fldChar w:fldCharType="separate"/>
          </w:r>
          <w:r>
            <w:t>105</w:t>
          </w:r>
          <w:r>
            <w:fldChar w:fldCharType="end"/>
          </w:r>
          <w:r>
            <w:fldChar w:fldCharType="end"/>
          </w:r>
        </w:p>
        <w:p w14:paraId="249DE92D">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"_Toc182642913" </w:instrText>
          </w:r>
          <w:r>
            <w:fldChar w:fldCharType="separate"/>
          </w:r>
          <w:r>
            <w:rPr>
              <w:rStyle w:val="17"/>
              <w:lang w:bidi="en-US"/>
            </w:rPr>
            <w:t>15.2.4 Periodicidad de la evaluación</w:t>
          </w:r>
          <w:r>
            <w:tab/>
          </w:r>
          <w:r>
            <w:fldChar w:fldCharType="begin"/>
          </w:r>
          <w:r>
            <w:instrText xml:space="preserve"> PAGEREF _Toc182642913 \h </w:instrText>
          </w:r>
          <w:r>
            <w:fldChar w:fldCharType="separate"/>
          </w:r>
          <w:r>
            <w:t>106</w:t>
          </w:r>
          <w:r>
            <w:fldChar w:fldCharType="end"/>
          </w:r>
          <w:r>
            <w:fldChar w:fldCharType="end"/>
          </w:r>
        </w:p>
        <w:p w14:paraId="59071BD8">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"_Toc182642914" </w:instrText>
          </w:r>
          <w:r>
            <w:fldChar w:fldCharType="separate"/>
          </w:r>
          <w:r>
            <w:rPr>
              <w:rStyle w:val="17"/>
              <w:lang w:bidi="en-US"/>
            </w:rPr>
            <w:t>15.2.5 Contabilización y soporte de la evaluación</w:t>
          </w:r>
          <w:r>
            <w:tab/>
          </w:r>
          <w:r>
            <w:fldChar w:fldCharType="begin"/>
          </w:r>
          <w:r>
            <w:instrText xml:space="preserve"> PAGEREF _Toc182642914 \h </w:instrText>
          </w:r>
          <w:r>
            <w:fldChar w:fldCharType="separate"/>
          </w:r>
          <w:r>
            <w:t>106</w:t>
          </w:r>
          <w:r>
            <w:fldChar w:fldCharType="end"/>
          </w:r>
          <w:r>
            <w:fldChar w:fldCharType="end"/>
          </w:r>
        </w:p>
        <w:p w14:paraId="00C405AA">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"_Toc182642915" </w:instrText>
          </w:r>
          <w:r>
            <w:fldChar w:fldCharType="separate"/>
          </w:r>
          <w:r>
            <w:rPr>
              <w:rStyle w:val="17"/>
              <w:lang w:bidi="en-US"/>
            </w:rPr>
            <w:t>15.2.6 Permanencia de la recalificación</w:t>
          </w:r>
          <w:r>
            <w:tab/>
          </w:r>
          <w:r>
            <w:fldChar w:fldCharType="begin"/>
          </w:r>
          <w:r>
            <w:instrText xml:space="preserve"> PAGEREF _Toc182642915 \h </w:instrText>
          </w:r>
          <w:r>
            <w:fldChar w:fldCharType="separate"/>
          </w:r>
          <w:r>
            <w:t>106</w:t>
          </w:r>
          <w:r>
            <w:fldChar w:fldCharType="end"/>
          </w:r>
          <w:r>
            <w:fldChar w:fldCharType="end"/>
          </w:r>
        </w:p>
        <w:p w14:paraId="7B19F637">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"_Toc182642916" </w:instrText>
          </w:r>
          <w:r>
            <w:fldChar w:fldCharType="separate"/>
          </w:r>
          <w:r>
            <w:rPr>
              <w:rStyle w:val="17"/>
              <w:lang w:bidi="en-US"/>
            </w:rPr>
            <w:t>15.2.7 Comunicación al asociado</w:t>
          </w:r>
          <w:r>
            <w:tab/>
          </w:r>
          <w:r>
            <w:fldChar w:fldCharType="begin"/>
          </w:r>
          <w:r>
            <w:instrText xml:space="preserve"> PAGEREF _Toc182642916 \h </w:instrText>
          </w:r>
          <w:r>
            <w:fldChar w:fldCharType="separate"/>
          </w:r>
          <w:r>
            <w:t>106</w:t>
          </w:r>
          <w:r>
            <w:fldChar w:fldCharType="end"/>
          </w:r>
          <w:r>
            <w:fldChar w:fldCharType="end"/>
          </w:r>
        </w:p>
        <w:p w14:paraId="2E07834F">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"_Toc182642917" </w:instrText>
          </w:r>
          <w:r>
            <w:fldChar w:fldCharType="separate"/>
          </w:r>
          <w:r>
            <w:rPr>
              <w:rStyle w:val="17"/>
              <w:lang w:bidi="en-US"/>
            </w:rPr>
            <w:t>15.2.8 Recalificaciones de Reestructuraciones</w:t>
          </w:r>
          <w:r>
            <w:tab/>
          </w:r>
          <w:r>
            <w:fldChar w:fldCharType="begin"/>
          </w:r>
          <w:r>
            <w:instrText xml:space="preserve"> PAGEREF _Toc182642917 \h </w:instrText>
          </w:r>
          <w:r>
            <w:fldChar w:fldCharType="separate"/>
          </w:r>
          <w:r>
            <w:t>107</w:t>
          </w:r>
          <w:r>
            <w:fldChar w:fldCharType="end"/>
          </w:r>
          <w:r>
            <w:fldChar w:fldCharType="end"/>
          </w:r>
        </w:p>
        <w:p w14:paraId="71453F4B">
          <w:pPr>
            <w:pStyle w:val="20"/>
            <w:rPr>
              <w:rFonts w:asciiTheme="minorHAnsi" w:hAnsiTheme="minorHAnsi" w:eastAsiaTheme="minorEastAsia" w:cstheme="minorBidi"/>
              <w:smallCaps w:val="0"/>
              <w:kern w:val="2"/>
              <w:sz w:val="22"/>
              <w:szCs w:val="22"/>
              <w:lang w:val="es-CO" w:eastAsia="es-CO"/>
              <w14:ligatures w14:val="standardContextual"/>
            </w:rPr>
          </w:pPr>
          <w:r>
            <w:fldChar w:fldCharType="begin"/>
          </w:r>
          <w:r>
            <w:instrText xml:space="preserve"> HYPERLINK \l "_Toc182642918" </w:instrText>
          </w:r>
          <w:r>
            <w:fldChar w:fldCharType="separate"/>
          </w:r>
          <w:r>
            <w:rPr>
              <w:rStyle w:val="17"/>
              <w:lang w:bidi="en-US"/>
            </w:rPr>
            <w:t>15.2.9 Procedimiento para realizar la evaluación</w:t>
          </w:r>
          <w:r>
            <w:tab/>
          </w:r>
          <w:r>
            <w:fldChar w:fldCharType="begin"/>
          </w:r>
          <w:r>
            <w:instrText xml:space="preserve"> PAGEREF _Toc182642918 \h </w:instrText>
          </w:r>
          <w:r>
            <w:fldChar w:fldCharType="separate"/>
          </w:r>
          <w:r>
            <w:t>107</w:t>
          </w:r>
          <w:r>
            <w:fldChar w:fldCharType="end"/>
          </w:r>
          <w:r>
            <w:fldChar w:fldCharType="end"/>
          </w:r>
        </w:p>
        <w:p w14:paraId="089A1909">
          <w:pPr>
            <w:pStyle w:val="24"/>
            <w:tabs>
              <w:tab w:val="left" w:pos="624"/>
              <w:tab w:val="right" w:leader="dot" w:pos="8828"/>
            </w:tabs>
            <w:rPr>
              <w:rFonts w:asciiTheme="minorHAnsi" w:hAnsiTheme="minorHAnsi" w:eastAsiaTheme="minorEastAsia" w:cstheme="minorBidi"/>
              <w:b w:val="0"/>
              <w:bCs w:val="0"/>
              <w:spacing w:val="0"/>
              <w:kern w:val="2"/>
              <w:sz w:val="22"/>
              <w:szCs w:val="22"/>
              <w:lang w:val="es-CO" w:eastAsia="es-CO"/>
              <w14:ligatures w14:val="standardContextual"/>
            </w:rPr>
          </w:pPr>
          <w:r>
            <w:fldChar w:fldCharType="begin"/>
          </w:r>
          <w:r>
            <w:instrText xml:space="preserve"> HYPERLINK \l "_Toc182642919" </w:instrText>
          </w:r>
          <w:r>
            <w:fldChar w:fldCharType="separate"/>
          </w:r>
          <w:r>
            <w:rPr>
              <w:rStyle w:val="17"/>
              <w:lang w:val="es-MX" w:eastAsia="es-CO" w:bidi="en-US"/>
            </w:rPr>
            <w:t>16.</w:t>
          </w:r>
          <w:r>
            <w:rPr>
              <w:rFonts w:asciiTheme="minorHAnsi" w:hAnsiTheme="minorHAnsi" w:eastAsiaTheme="minorEastAsia" w:cstheme="minorBidi"/>
              <w:b w:val="0"/>
              <w:bCs w:val="0"/>
              <w:spacing w:val="0"/>
              <w:kern w:val="2"/>
              <w:sz w:val="22"/>
              <w:szCs w:val="22"/>
              <w:lang w:val="es-CO" w:eastAsia="es-CO"/>
              <w14:ligatures w14:val="standardContextual"/>
            </w:rPr>
            <w:tab/>
          </w:r>
          <w:r>
            <w:rPr>
              <w:rStyle w:val="17"/>
              <w:lang w:val="es-MX" w:eastAsia="es-CO" w:bidi="en-US"/>
            </w:rPr>
            <w:t>DETERIORO</w:t>
          </w:r>
          <w:r>
            <w:tab/>
          </w:r>
          <w:r>
            <w:fldChar w:fldCharType="begin"/>
          </w:r>
          <w:r>
            <w:instrText xml:space="preserve"> PAGEREF _Toc182642919 \h </w:instrText>
          </w:r>
          <w:r>
            <w:fldChar w:fldCharType="separate"/>
          </w:r>
          <w:r>
            <w:t>108</w:t>
          </w:r>
          <w:r>
            <w:fldChar w:fldCharType="end"/>
          </w:r>
          <w:r>
            <w:fldChar w:fldCharType="end"/>
          </w:r>
        </w:p>
        <w:p w14:paraId="1ABF1A41">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"_Toc182642920" </w:instrText>
          </w:r>
          <w:r>
            <w:fldChar w:fldCharType="separate"/>
          </w:r>
          <w:r>
            <w:rPr>
              <w:rStyle w:val="17"/>
              <w:lang w:bidi="en-US"/>
              <w14:scene3d>
                <w14:lightRig w14:rig="threePt" w14:dir="t">
                  <w14:rot w14:lat="0" w14:lon="0" w14:rev="0"/>
                </w14:lightRig>
              </w14:scene3d>
            </w:rPr>
            <w:t>16.1</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Deterioro General</w:t>
          </w:r>
          <w:r>
            <w:tab/>
          </w:r>
          <w:r>
            <w:fldChar w:fldCharType="begin"/>
          </w:r>
          <w:r>
            <w:instrText xml:space="preserve"> PAGEREF _Toc182642920 \h </w:instrText>
          </w:r>
          <w:r>
            <w:fldChar w:fldCharType="separate"/>
          </w:r>
          <w:r>
            <w:t>108</w:t>
          </w:r>
          <w:r>
            <w:fldChar w:fldCharType="end"/>
          </w:r>
          <w:r>
            <w:fldChar w:fldCharType="end"/>
          </w:r>
        </w:p>
        <w:p w14:paraId="305EFAFE">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"_Toc182642921" </w:instrText>
          </w:r>
          <w:r>
            <w:fldChar w:fldCharType="separate"/>
          </w:r>
          <w:r>
            <w:rPr>
              <w:rStyle w:val="17"/>
              <w:lang w:bidi="en-US"/>
              <w14:scene3d>
                <w14:lightRig w14:rig="threePt" w14:dir="t">
                  <w14:rot w14:lat="0" w14:lon="0" w14:rev="0"/>
                </w14:lightRig>
              </w14:scene3d>
            </w:rPr>
            <w:t>16.2</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Deterioro Individual</w:t>
          </w:r>
          <w:r>
            <w:tab/>
          </w:r>
          <w:r>
            <w:fldChar w:fldCharType="begin"/>
          </w:r>
          <w:r>
            <w:instrText xml:space="preserve"> PAGEREF _Toc182642921 \h </w:instrText>
          </w:r>
          <w:r>
            <w:fldChar w:fldCharType="separate"/>
          </w:r>
          <w:r>
            <w:t>108</w:t>
          </w:r>
          <w:r>
            <w:fldChar w:fldCharType="end"/>
          </w:r>
          <w:r>
            <w:fldChar w:fldCharType="end"/>
          </w:r>
        </w:p>
        <w:p w14:paraId="46CFB1C6">
          <w:pPr>
            <w:pStyle w:val="24"/>
            <w:tabs>
              <w:tab w:val="left" w:pos="624"/>
              <w:tab w:val="right" w:leader="dot" w:pos="8828"/>
            </w:tabs>
            <w:rPr>
              <w:rFonts w:asciiTheme="minorHAnsi" w:hAnsiTheme="minorHAnsi" w:eastAsiaTheme="minorEastAsia" w:cstheme="minorBidi"/>
              <w:b w:val="0"/>
              <w:bCs w:val="0"/>
              <w:spacing w:val="0"/>
              <w:kern w:val="2"/>
              <w:sz w:val="22"/>
              <w:szCs w:val="22"/>
              <w:lang w:val="es-CO" w:eastAsia="es-CO"/>
              <w14:ligatures w14:val="standardContextual"/>
            </w:rPr>
          </w:pPr>
          <w:r>
            <w:fldChar w:fldCharType="begin"/>
          </w:r>
          <w:r>
            <w:instrText xml:space="preserve"> HYPERLINK \l "_Toc182642922" </w:instrText>
          </w:r>
          <w:r>
            <w:fldChar w:fldCharType="separate"/>
          </w:r>
          <w:r>
            <w:rPr>
              <w:rStyle w:val="17"/>
              <w:lang w:val="es-ES" w:bidi="en-US"/>
            </w:rPr>
            <w:t>17.</w:t>
          </w:r>
          <w:r>
            <w:rPr>
              <w:rFonts w:asciiTheme="minorHAnsi" w:hAnsiTheme="minorHAnsi" w:eastAsiaTheme="minorEastAsia" w:cstheme="minorBidi"/>
              <w:b w:val="0"/>
              <w:bCs w:val="0"/>
              <w:spacing w:val="0"/>
              <w:kern w:val="2"/>
              <w:sz w:val="22"/>
              <w:szCs w:val="22"/>
              <w:lang w:val="es-CO" w:eastAsia="es-CO"/>
              <w14:ligatures w14:val="standardContextual"/>
            </w:rPr>
            <w:tab/>
          </w:r>
          <w:r>
            <w:rPr>
              <w:rStyle w:val="17"/>
              <w:lang w:val="es-ES" w:bidi="en-US"/>
            </w:rPr>
            <w:t>INFRAESTRUCTURA TECNOLOGICA</w:t>
          </w:r>
          <w:r>
            <w:tab/>
          </w:r>
          <w:r>
            <w:fldChar w:fldCharType="begin"/>
          </w:r>
          <w:r>
            <w:instrText xml:space="preserve"> PAGEREF _Toc182642922 \h </w:instrText>
          </w:r>
          <w:r>
            <w:fldChar w:fldCharType="separate"/>
          </w:r>
          <w:r>
            <w:t>110</w:t>
          </w:r>
          <w:r>
            <w:fldChar w:fldCharType="end"/>
          </w:r>
          <w:r>
            <w:fldChar w:fldCharType="end"/>
          </w:r>
        </w:p>
        <w:p w14:paraId="28E3C80E">
          <w:pPr>
            <w:pStyle w:val="24"/>
            <w:tabs>
              <w:tab w:val="left" w:pos="624"/>
              <w:tab w:val="right" w:leader="dot" w:pos="8828"/>
            </w:tabs>
            <w:rPr>
              <w:rFonts w:asciiTheme="minorHAnsi" w:hAnsiTheme="minorHAnsi" w:eastAsiaTheme="minorEastAsia" w:cstheme="minorBidi"/>
              <w:b w:val="0"/>
              <w:bCs w:val="0"/>
              <w:spacing w:val="0"/>
              <w:kern w:val="2"/>
              <w:sz w:val="22"/>
              <w:szCs w:val="22"/>
              <w:lang w:val="es-CO" w:eastAsia="es-CO"/>
              <w14:ligatures w14:val="standardContextual"/>
            </w:rPr>
          </w:pPr>
          <w:r>
            <w:fldChar w:fldCharType="begin"/>
          </w:r>
          <w:r>
            <w:instrText xml:space="preserve"> HYPERLINK \l "_Toc182642923" </w:instrText>
          </w:r>
          <w:r>
            <w:fldChar w:fldCharType="separate"/>
          </w:r>
          <w:r>
            <w:rPr>
              <w:rStyle w:val="17"/>
              <w:lang w:val="es-ES" w:bidi="en-US"/>
            </w:rPr>
            <w:t>18.</w:t>
          </w:r>
          <w:r>
            <w:rPr>
              <w:rFonts w:asciiTheme="minorHAnsi" w:hAnsiTheme="minorHAnsi" w:eastAsiaTheme="minorEastAsia" w:cstheme="minorBidi"/>
              <w:b w:val="0"/>
              <w:bCs w:val="0"/>
              <w:spacing w:val="0"/>
              <w:kern w:val="2"/>
              <w:sz w:val="22"/>
              <w:szCs w:val="22"/>
              <w:lang w:val="es-CO" w:eastAsia="es-CO"/>
              <w14:ligatures w14:val="standardContextual"/>
            </w:rPr>
            <w:tab/>
          </w:r>
          <w:r>
            <w:rPr>
              <w:rStyle w:val="17"/>
              <w:lang w:val="es-ES" w:bidi="en-US"/>
            </w:rPr>
            <w:t>REPORTES</w:t>
          </w:r>
          <w:r>
            <w:tab/>
          </w:r>
          <w:r>
            <w:fldChar w:fldCharType="begin"/>
          </w:r>
          <w:r>
            <w:instrText xml:space="preserve"> PAGEREF _Toc182642923 \h </w:instrText>
          </w:r>
          <w:r>
            <w:fldChar w:fldCharType="separate"/>
          </w:r>
          <w:r>
            <w:t>111</w:t>
          </w:r>
          <w:r>
            <w:fldChar w:fldCharType="end"/>
          </w:r>
          <w:r>
            <w:fldChar w:fldCharType="end"/>
          </w:r>
        </w:p>
        <w:p w14:paraId="457E93BB">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"_Toc182642924" </w:instrText>
          </w:r>
          <w:r>
            <w:fldChar w:fldCharType="separate"/>
          </w:r>
          <w:r>
            <w:rPr>
              <w:rStyle w:val="17"/>
              <w:lang w:bidi="en-US"/>
              <w14:scene3d>
                <w14:lightRig w14:rig="threePt" w14:dir="t">
                  <w14:rot w14:lat="0" w14:lon="0" w14:rev="0"/>
                </w14:lightRig>
              </w14:scene3d>
            </w:rPr>
            <w:t>18.1</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Reportes internos</w:t>
          </w:r>
          <w:r>
            <w:tab/>
          </w:r>
          <w:r>
            <w:fldChar w:fldCharType="begin"/>
          </w:r>
          <w:r>
            <w:instrText xml:space="preserve"> PAGEREF _Toc182642924 \h </w:instrText>
          </w:r>
          <w:r>
            <w:fldChar w:fldCharType="separate"/>
          </w:r>
          <w:r>
            <w:t>111</w:t>
          </w:r>
          <w:r>
            <w:fldChar w:fldCharType="end"/>
          </w:r>
          <w:r>
            <w:fldChar w:fldCharType="end"/>
          </w:r>
        </w:p>
        <w:p w14:paraId="23F65430">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"_Toc182642925" </w:instrText>
          </w:r>
          <w:r>
            <w:fldChar w:fldCharType="separate"/>
          </w:r>
          <w:r>
            <w:rPr>
              <w:rStyle w:val="17"/>
              <w:lang w:bidi="en-US"/>
              <w14:scene3d>
                <w14:lightRig w14:rig="threePt" w14:dir="t">
                  <w14:rot w14:lat="0" w14:lon="0" w14:rev="0"/>
                </w14:lightRig>
              </w14:scene3d>
            </w:rPr>
            <w:t>18.2</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Reportes externos</w:t>
          </w:r>
          <w:r>
            <w:tab/>
          </w:r>
          <w:r>
            <w:fldChar w:fldCharType="begin"/>
          </w:r>
          <w:r>
            <w:instrText xml:space="preserve"> PAGEREF _Toc182642925 \h </w:instrText>
          </w:r>
          <w:r>
            <w:fldChar w:fldCharType="separate"/>
          </w:r>
          <w:r>
            <w:t>111</w:t>
          </w:r>
          <w:r>
            <w:fldChar w:fldCharType="end"/>
          </w:r>
          <w:r>
            <w:fldChar w:fldCharType="end"/>
          </w:r>
        </w:p>
        <w:p w14:paraId="3C087474">
          <w:pPr>
            <w:pStyle w:val="24"/>
            <w:tabs>
              <w:tab w:val="left" w:pos="624"/>
              <w:tab w:val="right" w:leader="dot" w:pos="8828"/>
            </w:tabs>
            <w:rPr>
              <w:rFonts w:asciiTheme="minorHAnsi" w:hAnsiTheme="minorHAnsi" w:eastAsiaTheme="minorEastAsia" w:cstheme="minorBidi"/>
              <w:b w:val="0"/>
              <w:bCs w:val="0"/>
              <w:spacing w:val="0"/>
              <w:kern w:val="2"/>
              <w:sz w:val="22"/>
              <w:szCs w:val="22"/>
              <w:lang w:val="es-CO" w:eastAsia="es-CO"/>
              <w14:ligatures w14:val="standardContextual"/>
            </w:rPr>
          </w:pPr>
          <w:r>
            <w:fldChar w:fldCharType="begin"/>
          </w:r>
          <w:r>
            <w:instrText xml:space="preserve"> HYPERLINK \l "_Toc182642926" </w:instrText>
          </w:r>
          <w:r>
            <w:fldChar w:fldCharType="separate"/>
          </w:r>
          <w:r>
            <w:rPr>
              <w:rStyle w:val="17"/>
              <w:lang w:val="es-ES" w:bidi="en-US"/>
            </w:rPr>
            <w:t>19.</w:t>
          </w:r>
          <w:r>
            <w:rPr>
              <w:rFonts w:asciiTheme="minorHAnsi" w:hAnsiTheme="minorHAnsi" w:eastAsiaTheme="minorEastAsia" w:cstheme="minorBidi"/>
              <w:b w:val="0"/>
              <w:bCs w:val="0"/>
              <w:spacing w:val="0"/>
              <w:kern w:val="2"/>
              <w:sz w:val="22"/>
              <w:szCs w:val="22"/>
              <w:lang w:val="es-CO" w:eastAsia="es-CO"/>
              <w14:ligatures w14:val="standardContextual"/>
            </w:rPr>
            <w:tab/>
          </w:r>
          <w:r>
            <w:rPr>
              <w:rStyle w:val="17"/>
              <w:lang w:val="es-ES" w:bidi="en-US"/>
            </w:rPr>
            <w:t>OTROS ASPECTOS</w:t>
          </w:r>
          <w:r>
            <w:tab/>
          </w:r>
          <w:r>
            <w:fldChar w:fldCharType="begin"/>
          </w:r>
          <w:r>
            <w:instrText xml:space="preserve"> PAGEREF _Toc182642926 \h </w:instrText>
          </w:r>
          <w:r>
            <w:fldChar w:fldCharType="separate"/>
          </w:r>
          <w:r>
            <w:t>112</w:t>
          </w:r>
          <w:r>
            <w:fldChar w:fldCharType="end"/>
          </w:r>
          <w:r>
            <w:fldChar w:fldCharType="end"/>
          </w:r>
        </w:p>
        <w:p w14:paraId="2B6856C4">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"_Toc182642927" </w:instrText>
          </w:r>
          <w:r>
            <w:fldChar w:fldCharType="separate"/>
          </w:r>
          <w:r>
            <w:rPr>
              <w:rStyle w:val="17"/>
              <w:lang w:bidi="en-US"/>
              <w14:scene3d>
                <w14:lightRig w14:rig="threePt" w14:dir="t">
                  <w14:rot w14:lat="0" w14:lon="0" w14:rev="0"/>
                </w14:lightRig>
              </w14:scene3d>
            </w:rPr>
            <w:t>19.1</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Suspensión de la causación de intereses</w:t>
          </w:r>
          <w:r>
            <w:tab/>
          </w:r>
          <w:r>
            <w:fldChar w:fldCharType="begin"/>
          </w:r>
          <w:r>
            <w:instrText xml:space="preserve"> PAGEREF _Toc182642927 \h </w:instrText>
          </w:r>
          <w:r>
            <w:fldChar w:fldCharType="separate"/>
          </w:r>
          <w:r>
            <w:t>112</w:t>
          </w:r>
          <w:r>
            <w:fldChar w:fldCharType="end"/>
          </w:r>
          <w:r>
            <w:fldChar w:fldCharType="end"/>
          </w:r>
        </w:p>
        <w:p w14:paraId="5CD561C3">
          <w:pPr>
            <w:pStyle w:val="27"/>
            <w:tabs>
              <w:tab w:val="left" w:pos="660"/>
              <w:tab w:val="right" w:leader="dot" w:pos="8828"/>
            </w:tabs>
            <w:rPr>
              <w:rFonts w:asciiTheme="minorHAnsi" w:hAnsiTheme="minorHAnsi" w:eastAsiaTheme="minorEastAsia" w:cstheme="minorBidi"/>
              <w:b w:val="0"/>
              <w:smallCaps w:val="0"/>
              <w:kern w:val="2"/>
              <w:sz w:val="22"/>
              <w:szCs w:val="22"/>
              <w:lang w:val="es-CO" w:eastAsia="es-CO"/>
              <w14:ligatures w14:val="standardContextual"/>
            </w:rPr>
          </w:pPr>
          <w:r>
            <w:fldChar w:fldCharType="begin"/>
          </w:r>
          <w:r>
            <w:instrText xml:space="preserve"> HYPERLINK \l "_Toc182642928" </w:instrText>
          </w:r>
          <w:r>
            <w:fldChar w:fldCharType="separate"/>
          </w:r>
          <w:r>
            <w:rPr>
              <w:rStyle w:val="17"/>
              <w:lang w:bidi="en-US"/>
              <w14:scene3d>
                <w14:lightRig w14:rig="threePt" w14:dir="t">
                  <w14:rot w14:lat="0" w14:lon="0" w14:rev="0"/>
                </w14:lightRig>
              </w14:scene3d>
            </w:rPr>
            <w:t>19.2</w:t>
          </w:r>
          <w:r>
            <w:rPr>
              <w:rFonts w:asciiTheme="minorHAnsi" w:hAnsiTheme="minorHAnsi" w:eastAsiaTheme="minorEastAsia" w:cstheme="minorBidi"/>
              <w:b w:val="0"/>
              <w:smallCaps w:val="0"/>
              <w:kern w:val="2"/>
              <w:sz w:val="22"/>
              <w:szCs w:val="22"/>
              <w:lang w:val="es-CO" w:eastAsia="es-CO"/>
              <w14:ligatures w14:val="standardContextual"/>
            </w:rPr>
            <w:tab/>
          </w:r>
          <w:r>
            <w:rPr>
              <w:rStyle w:val="17"/>
              <w:lang w:bidi="en-US"/>
            </w:rPr>
            <w:t>Recaudo de Créditos a través de deudores patronales</w:t>
          </w:r>
          <w:r>
            <w:tab/>
          </w:r>
          <w:r>
            <w:fldChar w:fldCharType="begin"/>
          </w:r>
          <w:r>
            <w:instrText xml:space="preserve"> PAGEREF _Toc182642928 \h </w:instrText>
          </w:r>
          <w:r>
            <w:fldChar w:fldCharType="separate"/>
          </w:r>
          <w:r>
            <w:t>112</w:t>
          </w:r>
          <w:r>
            <w:fldChar w:fldCharType="end"/>
          </w:r>
          <w:r>
            <w:fldChar w:fldCharType="end"/>
          </w:r>
        </w:p>
        <w:p w14:paraId="01145767">
          <w:pPr>
            <w:pStyle w:val="24"/>
            <w:tabs>
              <w:tab w:val="left" w:pos="624"/>
              <w:tab w:val="right" w:leader="dot" w:pos="8828"/>
            </w:tabs>
            <w:rPr>
              <w:rFonts w:asciiTheme="minorHAnsi" w:hAnsiTheme="minorHAnsi" w:eastAsiaTheme="minorEastAsia" w:cstheme="minorBidi"/>
              <w:b w:val="0"/>
              <w:bCs w:val="0"/>
              <w:spacing w:val="0"/>
              <w:kern w:val="2"/>
              <w:sz w:val="22"/>
              <w:szCs w:val="22"/>
              <w:lang w:val="es-CO" w:eastAsia="es-CO"/>
              <w14:ligatures w14:val="standardContextual"/>
            </w:rPr>
          </w:pPr>
          <w:r>
            <w:fldChar w:fldCharType="begin"/>
          </w:r>
          <w:r>
            <w:instrText xml:space="preserve"> HYPERLINK \l "_Toc182642929" </w:instrText>
          </w:r>
          <w:r>
            <w:fldChar w:fldCharType="separate"/>
          </w:r>
          <w:r>
            <w:rPr>
              <w:rStyle w:val="17"/>
              <w:lang w:val="es-ES" w:bidi="en-US"/>
            </w:rPr>
            <w:t>20.</w:t>
          </w:r>
          <w:r>
            <w:rPr>
              <w:rFonts w:asciiTheme="minorHAnsi" w:hAnsiTheme="minorHAnsi" w:eastAsiaTheme="minorEastAsia" w:cstheme="minorBidi"/>
              <w:b w:val="0"/>
              <w:bCs w:val="0"/>
              <w:spacing w:val="0"/>
              <w:kern w:val="2"/>
              <w:sz w:val="22"/>
              <w:szCs w:val="22"/>
              <w:lang w:val="es-CO" w:eastAsia="es-CO"/>
              <w14:ligatures w14:val="standardContextual"/>
            </w:rPr>
            <w:tab/>
          </w:r>
          <w:r>
            <w:rPr>
              <w:rStyle w:val="17"/>
              <w:lang w:val="es-ES" w:bidi="en-US"/>
            </w:rPr>
            <w:t>DIVULGACION, CAPACITACIONES Y CUMPLIMIENTO DE DISPOSICIONES</w:t>
          </w:r>
          <w:r>
            <w:tab/>
          </w:r>
          <w:r>
            <w:fldChar w:fldCharType="begin"/>
          </w:r>
          <w:r>
            <w:instrText xml:space="preserve"> PAGEREF _Toc182642929 \h </w:instrText>
          </w:r>
          <w:r>
            <w:fldChar w:fldCharType="separate"/>
          </w:r>
          <w:r>
            <w:t>114</w:t>
          </w:r>
          <w:r>
            <w:fldChar w:fldCharType="end"/>
          </w:r>
          <w:r>
            <w:fldChar w:fldCharType="end"/>
          </w:r>
        </w:p>
        <w:p w14:paraId="6D345D2E">
          <w:pPr>
            <w:rPr>
              <w:rFonts w:ascii="Baloo Thambi 2" w:hAnsi="Baloo Thambi 2" w:cs="Baloo Thambi 2"/>
              <w:bCs/>
              <w:lang w:val="es-ES"/>
            </w:rPr>
          </w:pPr>
          <w:r>
            <w:rPr>
              <w:rFonts w:ascii="Baloo Thambi 2" w:hAnsi="Baloo Thambi 2" w:cs="Baloo Thambi 2"/>
              <w:b/>
              <w:bCs/>
              <w:sz w:val="22"/>
              <w:szCs w:val="20"/>
              <w:lang w:val="es-ES"/>
            </w:rPr>
            <w:fldChar w:fldCharType="end"/>
          </w:r>
        </w:p>
      </w:sdtContent>
    </w:sdt>
    <w:p w14:paraId="44CEB68B">
      <w:pPr>
        <w:pStyle w:val="2"/>
        <w:numPr>
          <w:ilvl w:val="0"/>
          <w:numId w:val="7"/>
        </w:numPr>
      </w:pPr>
      <w:bookmarkStart w:id="0" w:name="_Toc182642783"/>
      <w:r>
        <w:t>INTRODUCCIÓN</w:t>
      </w:r>
      <w:bookmarkEnd w:id="0"/>
    </w:p>
    <w:p w14:paraId="493DD806">
      <w:pPr>
        <w:tabs>
          <w:tab w:val="left" w:pos="1128"/>
        </w:tabs>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El Manual SARC, contiene las políticas de Riesgo de Crédito aplicables por la Cooperativa para la implementación de las etapas de Identificación, Medición, Monitoreo y Control, así como las políticas que serán el marco normativo frente a las actividades de otorgamiento de créditos, manejo de garantías, desembolsos, recuperación de cartera, evaluación y calificación de la cartera, manejo de información y demás disposiciones relacionadas con el manejo de la cartera.</w:t>
      </w:r>
    </w:p>
    <w:p w14:paraId="64953CBD">
      <w:pPr>
        <w:tabs>
          <w:tab w:val="left" w:pos="1128"/>
        </w:tabs>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El incumplimiento de las normas, procedimientos y metodologías definidas en el presente manual, generarán las respectivas sanciones, según lo establecido en el reglamento interno de trabajo.</w:t>
      </w:r>
    </w:p>
    <w:p w14:paraId="4C480157">
      <w:pPr>
        <w:tabs>
          <w:tab w:val="left" w:pos="1128"/>
        </w:tabs>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El contenido de este Manual deberá ser revisado al menos una vez cada al año, con el fin de identificar posibles ajustes, o cuando producto de la dinámica de la entidad o de la normatividad externa deban efectuarse modificaciones.</w:t>
      </w:r>
    </w:p>
    <w:p w14:paraId="016848EA">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Los modelos de referencia entrarán a regir de acuerdo con las fechas de implementación definidas por la SES.</w:t>
      </w:r>
    </w:p>
    <w:p w14:paraId="64660E07">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El presente Manual junto con sus anexos, fue aprobado por el Consejo de Administración en la sesión realizada el mes de </w:t>
      </w:r>
      <w:r>
        <w:rPr>
          <w:rFonts w:cs="Arial"/>
          <w:color w:val="000000" w:themeColor="text1"/>
          <w:szCs w:val="24"/>
          <w:highlight w:val="yellow"/>
          <w14:textFill>
            <w14:solidFill>
              <w14:schemeClr w14:val="tx1"/>
            </w14:solidFill>
          </w14:textFill>
        </w:rPr>
        <w:t>XXX</w:t>
      </w:r>
      <w:r>
        <w:rPr>
          <w:rFonts w:cs="Arial"/>
          <w:color w:val="000000" w:themeColor="text1"/>
          <w:szCs w:val="24"/>
          <w14:textFill>
            <w14:solidFill>
              <w14:schemeClr w14:val="tx1"/>
            </w14:solidFill>
          </w14:textFill>
        </w:rPr>
        <w:t xml:space="preserve"> del año 2024.</w:t>
      </w:r>
    </w:p>
    <w:p w14:paraId="13E7DABB">
      <w:pPr>
        <w:rPr>
          <w:rFonts w:cs="Arial"/>
          <w:szCs w:val="24"/>
          <w:lang w:val="es-ES"/>
        </w:rPr>
      </w:pPr>
    </w:p>
    <w:p w14:paraId="2DF5BCE6">
      <w:pPr>
        <w:rPr>
          <w:rFonts w:cs="Arial"/>
          <w:szCs w:val="24"/>
          <w:lang w:val="es-ES"/>
        </w:rPr>
      </w:pPr>
    </w:p>
    <w:p w14:paraId="476DD918">
      <w:pPr>
        <w:rPr>
          <w:rFonts w:cs="Arial"/>
          <w:szCs w:val="24"/>
          <w:lang w:val="es-ES"/>
        </w:rPr>
      </w:pPr>
    </w:p>
    <w:p w14:paraId="79088D43">
      <w:pPr>
        <w:rPr>
          <w:rFonts w:cs="Arial"/>
          <w:szCs w:val="24"/>
          <w:lang w:val="es-ES"/>
        </w:rPr>
      </w:pPr>
    </w:p>
    <w:p w14:paraId="6684776B">
      <w:pPr>
        <w:rPr>
          <w:rFonts w:cs="Arial"/>
          <w:szCs w:val="24"/>
          <w:lang w:val="es-ES"/>
        </w:rPr>
      </w:pPr>
    </w:p>
    <w:p w14:paraId="55A08C27">
      <w:pPr>
        <w:rPr>
          <w:rFonts w:cs="Arial"/>
          <w:szCs w:val="24"/>
          <w:lang w:val="es-ES"/>
        </w:rPr>
      </w:pPr>
    </w:p>
    <w:p w14:paraId="4691954E">
      <w:pPr>
        <w:rPr>
          <w:rFonts w:cs="Arial"/>
          <w:szCs w:val="24"/>
          <w:lang w:val="es-ES"/>
        </w:rPr>
      </w:pPr>
    </w:p>
    <w:p w14:paraId="2704E0CC">
      <w:pPr>
        <w:rPr>
          <w:rFonts w:cs="Arial"/>
          <w:szCs w:val="24"/>
          <w:lang w:val="es-ES"/>
        </w:rPr>
      </w:pPr>
    </w:p>
    <w:p w14:paraId="434A31C9">
      <w:pPr>
        <w:rPr>
          <w:rFonts w:cs="Arial"/>
          <w:szCs w:val="24"/>
          <w:lang w:val="es-ES"/>
        </w:rPr>
      </w:pPr>
    </w:p>
    <w:p w14:paraId="6F3799AE">
      <w:pPr>
        <w:rPr>
          <w:rFonts w:cs="Arial"/>
          <w:szCs w:val="24"/>
          <w:lang w:val="es-ES"/>
        </w:rPr>
      </w:pPr>
    </w:p>
    <w:p w14:paraId="59BAE815">
      <w:pPr>
        <w:pStyle w:val="2"/>
        <w:numPr>
          <w:ilvl w:val="0"/>
          <w:numId w:val="7"/>
        </w:numPr>
      </w:pPr>
      <w:bookmarkStart w:id="1" w:name="_Toc182642784"/>
      <w:r>
        <w:t>OBJETIVO</w:t>
      </w:r>
      <w:bookmarkEnd w:id="1"/>
    </w:p>
    <w:p w14:paraId="726642D2">
      <w:pPr>
        <w:tabs>
          <w:tab w:val="left" w:pos="1128"/>
        </w:tabs>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El Sistema de Administración de Riesgo de Crédito, se ha implementado con el objetivo de, identificar, medir, controlar y monitorear el riesgo de crédito al que se encuentra expuesta la Cooperativa en el desarrollo de su proceso de crédito, y facilitar a la entidad adoptar decisiones oportunas para la adecuada mitigación de este riesgo.</w:t>
      </w:r>
    </w:p>
    <w:p w14:paraId="581E6048">
      <w:pPr>
        <w:tabs>
          <w:tab w:val="left" w:pos="1128"/>
        </w:tabs>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El SARC se instrumenta a través de las etapas del proceso de colocación (crédito y cartera) y de los procesos propios del área de riesgos, así como de los elementos establecidos en el presente Manual en el cual se fijan los lineamientos definidos por COOPCALLEJONA, no solo para el cumplimiento de las diferentes etapas sino para el desarrollo de los procesos que forman parte de este Sistema.</w:t>
      </w:r>
    </w:p>
    <w:p w14:paraId="20609CE0">
      <w:pPr>
        <w:tabs>
          <w:tab w:val="left" w:pos="1128"/>
        </w:tabs>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El SARC busca además fortalecer la cultura hacía el manejo de este riesgo por parte de los funcionarios en el cumplimiento de las directrices, a través de la adecuada definición de límites, alertas, metodologías y demás actividades que faciliten las labores en la gestión del riesgo de crédito.</w:t>
      </w:r>
    </w:p>
    <w:p w14:paraId="474B07A0">
      <w:pPr>
        <w:tabs>
          <w:tab w:val="left" w:pos="1128"/>
        </w:tabs>
        <w:ind w:left="142" w:right="49"/>
        <w:jc w:val="both"/>
        <w:rPr>
          <w:rFonts w:cs="Arial"/>
          <w:color w:val="000000" w:themeColor="text1"/>
          <w:szCs w:val="24"/>
          <w14:textFill>
            <w14:solidFill>
              <w14:schemeClr w14:val="tx1"/>
            </w14:solidFill>
          </w14:textFill>
        </w:rPr>
      </w:pPr>
    </w:p>
    <w:p w14:paraId="03E71334">
      <w:pPr>
        <w:tabs>
          <w:tab w:val="left" w:pos="1128"/>
        </w:tabs>
        <w:ind w:left="142" w:right="49"/>
        <w:jc w:val="both"/>
        <w:rPr>
          <w:rFonts w:cs="Arial"/>
          <w:color w:val="000000" w:themeColor="text1"/>
          <w:szCs w:val="24"/>
          <w14:textFill>
            <w14:solidFill>
              <w14:schemeClr w14:val="tx1"/>
            </w14:solidFill>
          </w14:textFill>
        </w:rPr>
      </w:pPr>
    </w:p>
    <w:p w14:paraId="514B691D">
      <w:pPr>
        <w:tabs>
          <w:tab w:val="left" w:pos="1128"/>
        </w:tabs>
        <w:ind w:left="142" w:right="49"/>
        <w:jc w:val="both"/>
        <w:rPr>
          <w:rFonts w:cs="Arial"/>
          <w:color w:val="000000" w:themeColor="text1"/>
          <w:szCs w:val="24"/>
          <w14:textFill>
            <w14:solidFill>
              <w14:schemeClr w14:val="tx1"/>
            </w14:solidFill>
          </w14:textFill>
        </w:rPr>
      </w:pPr>
    </w:p>
    <w:p w14:paraId="58832CE3">
      <w:pPr>
        <w:tabs>
          <w:tab w:val="left" w:pos="1128"/>
        </w:tabs>
        <w:ind w:left="142" w:right="49"/>
        <w:jc w:val="both"/>
        <w:rPr>
          <w:rFonts w:cs="Arial"/>
          <w:color w:val="000000" w:themeColor="text1"/>
          <w:szCs w:val="24"/>
          <w14:textFill>
            <w14:solidFill>
              <w14:schemeClr w14:val="tx1"/>
            </w14:solidFill>
          </w14:textFill>
        </w:rPr>
      </w:pPr>
    </w:p>
    <w:p w14:paraId="1BB1E6D2">
      <w:pPr>
        <w:tabs>
          <w:tab w:val="left" w:pos="1128"/>
        </w:tabs>
        <w:ind w:left="142" w:right="49"/>
        <w:jc w:val="both"/>
        <w:rPr>
          <w:rFonts w:cs="Arial"/>
          <w:color w:val="000000" w:themeColor="text1"/>
          <w:szCs w:val="24"/>
          <w14:textFill>
            <w14:solidFill>
              <w14:schemeClr w14:val="tx1"/>
            </w14:solidFill>
          </w14:textFill>
        </w:rPr>
      </w:pPr>
    </w:p>
    <w:p w14:paraId="384163CE">
      <w:pPr>
        <w:tabs>
          <w:tab w:val="left" w:pos="1128"/>
        </w:tabs>
        <w:ind w:left="142" w:right="49"/>
        <w:jc w:val="both"/>
        <w:rPr>
          <w:rFonts w:cs="Arial"/>
          <w:color w:val="000000" w:themeColor="text1"/>
          <w:szCs w:val="24"/>
          <w14:textFill>
            <w14:solidFill>
              <w14:schemeClr w14:val="tx1"/>
            </w14:solidFill>
          </w14:textFill>
        </w:rPr>
      </w:pPr>
    </w:p>
    <w:p w14:paraId="4752FFAC">
      <w:pPr>
        <w:tabs>
          <w:tab w:val="left" w:pos="1128"/>
        </w:tabs>
        <w:ind w:left="142" w:right="49"/>
        <w:jc w:val="both"/>
        <w:rPr>
          <w:rFonts w:cs="Arial"/>
          <w:color w:val="000000" w:themeColor="text1"/>
          <w:szCs w:val="24"/>
          <w14:textFill>
            <w14:solidFill>
              <w14:schemeClr w14:val="tx1"/>
            </w14:solidFill>
          </w14:textFill>
        </w:rPr>
      </w:pPr>
    </w:p>
    <w:p w14:paraId="3C400DF6">
      <w:pPr>
        <w:tabs>
          <w:tab w:val="left" w:pos="1128"/>
        </w:tabs>
        <w:ind w:left="142" w:right="49"/>
        <w:jc w:val="both"/>
        <w:rPr>
          <w:rFonts w:cs="Arial"/>
          <w:color w:val="000000" w:themeColor="text1"/>
          <w:szCs w:val="24"/>
          <w14:textFill>
            <w14:solidFill>
              <w14:schemeClr w14:val="tx1"/>
            </w14:solidFill>
          </w14:textFill>
        </w:rPr>
      </w:pPr>
    </w:p>
    <w:p w14:paraId="27FDB541">
      <w:pPr>
        <w:tabs>
          <w:tab w:val="left" w:pos="1128"/>
        </w:tabs>
        <w:ind w:left="142" w:right="49"/>
        <w:jc w:val="both"/>
        <w:rPr>
          <w:rFonts w:cs="Arial"/>
          <w:color w:val="000000" w:themeColor="text1"/>
          <w:szCs w:val="24"/>
          <w14:textFill>
            <w14:solidFill>
              <w14:schemeClr w14:val="tx1"/>
            </w14:solidFill>
          </w14:textFill>
        </w:rPr>
      </w:pPr>
    </w:p>
    <w:p w14:paraId="0C1E3F60">
      <w:pPr>
        <w:tabs>
          <w:tab w:val="left" w:pos="1128"/>
        </w:tabs>
        <w:ind w:left="142" w:right="49"/>
        <w:jc w:val="both"/>
        <w:rPr>
          <w:rFonts w:cs="Arial"/>
          <w:color w:val="000000" w:themeColor="text1"/>
          <w:szCs w:val="24"/>
          <w14:textFill>
            <w14:solidFill>
              <w14:schemeClr w14:val="tx1"/>
            </w14:solidFill>
          </w14:textFill>
        </w:rPr>
      </w:pPr>
    </w:p>
    <w:p w14:paraId="536378C3">
      <w:pPr>
        <w:tabs>
          <w:tab w:val="left" w:pos="1128"/>
        </w:tabs>
        <w:ind w:left="142" w:right="49"/>
        <w:jc w:val="both"/>
        <w:rPr>
          <w:rFonts w:cs="Arial"/>
          <w:color w:val="000000" w:themeColor="text1"/>
          <w:szCs w:val="24"/>
          <w14:textFill>
            <w14:solidFill>
              <w14:schemeClr w14:val="tx1"/>
            </w14:solidFill>
          </w14:textFill>
        </w:rPr>
      </w:pPr>
    </w:p>
    <w:p w14:paraId="29D51AFD">
      <w:pPr>
        <w:tabs>
          <w:tab w:val="left" w:pos="1128"/>
        </w:tabs>
        <w:ind w:left="142" w:right="49"/>
        <w:jc w:val="both"/>
        <w:rPr>
          <w:rFonts w:cs="Arial"/>
          <w:color w:val="000000" w:themeColor="text1"/>
          <w:szCs w:val="24"/>
          <w14:textFill>
            <w14:solidFill>
              <w14:schemeClr w14:val="tx1"/>
            </w14:solidFill>
          </w14:textFill>
        </w:rPr>
      </w:pPr>
    </w:p>
    <w:p w14:paraId="12EB53A8">
      <w:pPr>
        <w:tabs>
          <w:tab w:val="left" w:pos="1128"/>
        </w:tabs>
        <w:ind w:left="142" w:right="49"/>
        <w:jc w:val="both"/>
        <w:rPr>
          <w:rFonts w:cs="Arial"/>
          <w:color w:val="000000" w:themeColor="text1"/>
          <w:szCs w:val="24"/>
          <w14:textFill>
            <w14:solidFill>
              <w14:schemeClr w14:val="tx1"/>
            </w14:solidFill>
          </w14:textFill>
        </w:rPr>
      </w:pPr>
    </w:p>
    <w:p w14:paraId="1C41CB7C">
      <w:pPr>
        <w:tabs>
          <w:tab w:val="left" w:pos="1128"/>
        </w:tabs>
        <w:ind w:left="142" w:right="49"/>
        <w:jc w:val="both"/>
        <w:rPr>
          <w:rFonts w:cs="Arial"/>
          <w:color w:val="000000" w:themeColor="text1"/>
          <w:szCs w:val="24"/>
          <w14:textFill>
            <w14:solidFill>
              <w14:schemeClr w14:val="tx1"/>
            </w14:solidFill>
          </w14:textFill>
        </w:rPr>
      </w:pPr>
    </w:p>
    <w:p w14:paraId="43F58141">
      <w:pPr>
        <w:pStyle w:val="2"/>
        <w:numPr>
          <w:ilvl w:val="0"/>
          <w:numId w:val="7"/>
        </w:numPr>
      </w:pPr>
      <w:bookmarkStart w:id="2" w:name="_Toc182642785"/>
      <w:r>
        <w:t>MARCO NORMATIVO</w:t>
      </w:r>
      <w:bookmarkEnd w:id="2"/>
    </w:p>
    <w:p w14:paraId="3C6C7760">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El Sistema de Administración de Riesgo de Crédito ha sido diseñado dando cumplimiento a las disposiciones establecidas en el capítulo II del Título IV de la CBCF Circular Externa 22 de diciembre 28 de 2020, así como a las disposiciones legales vigentes que aplican a los diferentes temas, entre las cuales están las siguientes:</w:t>
      </w:r>
    </w:p>
    <w:p w14:paraId="282C72C5">
      <w:pPr>
        <w:pStyle w:val="67"/>
        <w:numPr>
          <w:ilvl w:val="0"/>
          <w:numId w:val="8"/>
        </w:numPr>
        <w:ind w:left="142" w:right="49" w:firstLine="0"/>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Decreto 1068 de 2015</w:t>
      </w:r>
    </w:p>
    <w:p w14:paraId="4C3BC1B0">
      <w:pPr>
        <w:pStyle w:val="67"/>
        <w:numPr>
          <w:ilvl w:val="0"/>
          <w:numId w:val="8"/>
        </w:numPr>
        <w:ind w:left="142" w:right="49" w:firstLine="0"/>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Ley 454 de 1998</w:t>
      </w:r>
    </w:p>
    <w:p w14:paraId="2B8259C6">
      <w:pPr>
        <w:pStyle w:val="67"/>
        <w:numPr>
          <w:ilvl w:val="0"/>
          <w:numId w:val="8"/>
        </w:numPr>
        <w:tabs>
          <w:tab w:val="left" w:pos="709"/>
          <w:tab w:val="center" w:pos="4536"/>
        </w:tabs>
        <w:spacing w:after="0" w:line="240" w:lineRule="auto"/>
        <w:ind w:left="709" w:right="49" w:hanging="567"/>
        <w:jc w:val="both"/>
        <w:rPr>
          <w:rFonts w:cs="Arial"/>
          <w:bCs/>
          <w:color w:val="000000" w:themeColor="text1"/>
          <w:szCs w:val="24"/>
          <w:lang w:val="es-MX"/>
          <w14:textFill>
            <w14:solidFill>
              <w14:schemeClr w14:val="tx1"/>
            </w14:solidFill>
          </w14:textFill>
        </w:rPr>
      </w:pPr>
      <w:r>
        <w:rPr>
          <w:rFonts w:cs="Arial"/>
          <w:bCs/>
          <w:color w:val="000000" w:themeColor="text1"/>
          <w:szCs w:val="24"/>
          <w:lang w:val="es-MX"/>
          <w14:textFill>
            <w14:solidFill>
              <w14:schemeClr w14:val="tx1"/>
            </w14:solidFill>
          </w14:textFill>
        </w:rPr>
        <w:t xml:space="preserve">Leyes: 550 de 1999, 617 de 2000, 1116 de 2006 y 1564 de 2012 o normas que las adicionen o sustituyan. </w:t>
      </w:r>
    </w:p>
    <w:p w14:paraId="42BADCCB">
      <w:pPr>
        <w:pStyle w:val="67"/>
        <w:numPr>
          <w:ilvl w:val="0"/>
          <w:numId w:val="8"/>
        </w:numPr>
        <w:ind w:left="142" w:right="49" w:firstLine="0"/>
        <w:jc w:val="both"/>
        <w:rPr>
          <w:rFonts w:cs="Arial"/>
          <w:color w:val="000000" w:themeColor="text1"/>
          <w:szCs w:val="24"/>
          <w14:textFill>
            <w14:solidFill>
              <w14:schemeClr w14:val="tx1"/>
            </w14:solidFill>
          </w14:textFill>
        </w:rPr>
      </w:pPr>
      <w:r>
        <w:rPr>
          <w:rFonts w:cs="Arial"/>
          <w:bCs/>
          <w:color w:val="000000" w:themeColor="text1"/>
          <w:szCs w:val="24"/>
          <w:lang w:val="es-MX"/>
          <w14:textFill>
            <w14:solidFill>
              <w14:schemeClr w14:val="tx1"/>
            </w14:solidFill>
          </w14:textFill>
        </w:rPr>
        <w:t>Artículo 20 de la Ley 546 de 1999,</w:t>
      </w:r>
    </w:p>
    <w:p w14:paraId="15B525C0">
      <w:pPr>
        <w:pStyle w:val="67"/>
        <w:numPr>
          <w:ilvl w:val="0"/>
          <w:numId w:val="8"/>
        </w:numPr>
        <w:ind w:left="142" w:right="49" w:firstLine="0"/>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Artículos 1708 y 1709 del Código Civil</w:t>
      </w:r>
    </w:p>
    <w:p w14:paraId="6175ED99">
      <w:pPr>
        <w:pStyle w:val="67"/>
        <w:numPr>
          <w:ilvl w:val="0"/>
          <w:numId w:val="8"/>
        </w:numPr>
        <w:ind w:left="142" w:right="49" w:firstLine="0"/>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Artículo 49 de la Ley 79/88 y el artículo 4 del Decreto 2360/93</w:t>
      </w:r>
    </w:p>
    <w:p w14:paraId="0428DEED">
      <w:pPr>
        <w:pStyle w:val="67"/>
        <w:numPr>
          <w:ilvl w:val="0"/>
          <w:numId w:val="8"/>
        </w:numPr>
        <w:spacing w:after="0" w:line="240" w:lineRule="auto"/>
        <w:ind w:left="142" w:right="49" w:firstLine="0"/>
        <w:jc w:val="both"/>
        <w:rPr>
          <w:rFonts w:cs="Arial"/>
          <w:color w:val="000000" w:themeColor="text1"/>
          <w:szCs w:val="24"/>
          <w14:textFill>
            <w14:solidFill>
              <w14:schemeClr w14:val="tx1"/>
            </w14:solidFill>
          </w14:textFill>
        </w:rPr>
      </w:pPr>
      <w:r>
        <w:rPr>
          <w:rFonts w:cs="Arial"/>
          <w:color w:val="000000" w:themeColor="text1"/>
          <w:szCs w:val="24"/>
          <w:lang w:eastAsia="es-CO"/>
          <w14:textFill>
            <w14:solidFill>
              <w14:schemeClr w14:val="tx1"/>
            </w14:solidFill>
          </w14:textFill>
        </w:rPr>
        <w:t>Artículo 109 de la Ley 795 de 2003</w:t>
      </w:r>
    </w:p>
    <w:p w14:paraId="2EFCE37E">
      <w:pPr>
        <w:pStyle w:val="67"/>
        <w:numPr>
          <w:ilvl w:val="0"/>
          <w:numId w:val="8"/>
        </w:numPr>
        <w:ind w:left="142" w:right="49" w:firstLine="0"/>
        <w:jc w:val="both"/>
        <w:rPr>
          <w:rFonts w:cs="Arial" w:eastAsiaTheme="majorEastAsia"/>
          <w:b/>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Decreto 2555 de 2010</w:t>
      </w:r>
    </w:p>
    <w:p w14:paraId="36B037DC">
      <w:pPr>
        <w:pStyle w:val="67"/>
        <w:numPr>
          <w:ilvl w:val="0"/>
          <w:numId w:val="8"/>
        </w:numPr>
        <w:ind w:left="142" w:right="49" w:firstLine="0"/>
        <w:jc w:val="both"/>
        <w:rPr>
          <w:rFonts w:cs="Arial" w:eastAsiaTheme="majorEastAsia"/>
          <w:b/>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Ley 1676 de 2013 Garantías Mobiliarias</w:t>
      </w:r>
    </w:p>
    <w:p w14:paraId="215BB9A8">
      <w:pPr>
        <w:pStyle w:val="67"/>
        <w:numPr>
          <w:ilvl w:val="0"/>
          <w:numId w:val="8"/>
        </w:numPr>
        <w:ind w:left="709" w:right="49" w:hanging="567"/>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Capítulo II del Título 10 del Decreto 1068 de 2015, modificado por los Decretos 961 y 962 de 2018 </w:t>
      </w:r>
    </w:p>
    <w:p w14:paraId="5598049B">
      <w:pPr>
        <w:tabs>
          <w:tab w:val="left" w:pos="1128"/>
        </w:tabs>
        <w:ind w:left="142" w:right="49"/>
        <w:jc w:val="both"/>
        <w:rPr>
          <w:rFonts w:cs="Arial"/>
          <w:color w:val="000000" w:themeColor="text1"/>
          <w:szCs w:val="24"/>
          <w14:textFill>
            <w14:solidFill>
              <w14:schemeClr w14:val="tx1"/>
            </w14:solidFill>
          </w14:textFill>
        </w:rPr>
      </w:pPr>
    </w:p>
    <w:p w14:paraId="52106336">
      <w:pPr>
        <w:rPr>
          <w:rFonts w:cs="Arial"/>
          <w:szCs w:val="24"/>
          <w:lang w:val="es-ES"/>
        </w:rPr>
      </w:pPr>
    </w:p>
    <w:p w14:paraId="6FDA0297">
      <w:pPr>
        <w:rPr>
          <w:rFonts w:cs="Arial"/>
          <w:szCs w:val="24"/>
          <w:lang w:val="es-ES"/>
        </w:rPr>
      </w:pPr>
    </w:p>
    <w:p w14:paraId="0002D473">
      <w:pPr>
        <w:rPr>
          <w:rFonts w:cs="Arial"/>
          <w:szCs w:val="24"/>
          <w:lang w:val="es-ES"/>
        </w:rPr>
      </w:pPr>
    </w:p>
    <w:p w14:paraId="28B192DF">
      <w:pPr>
        <w:rPr>
          <w:rFonts w:cs="Arial"/>
          <w:szCs w:val="24"/>
          <w:lang w:val="es-ES"/>
        </w:rPr>
      </w:pPr>
    </w:p>
    <w:p w14:paraId="4E0D3B2C">
      <w:pPr>
        <w:rPr>
          <w:rFonts w:cs="Arial"/>
          <w:szCs w:val="24"/>
          <w:lang w:val="es-ES"/>
        </w:rPr>
      </w:pPr>
    </w:p>
    <w:p w14:paraId="6653AC0E">
      <w:pPr>
        <w:rPr>
          <w:rFonts w:cs="Arial"/>
          <w:szCs w:val="24"/>
          <w:lang w:val="es-ES"/>
        </w:rPr>
      </w:pPr>
    </w:p>
    <w:p w14:paraId="1BC7AE49">
      <w:pPr>
        <w:rPr>
          <w:rFonts w:cs="Arial"/>
          <w:szCs w:val="24"/>
          <w:lang w:val="es-ES"/>
        </w:rPr>
      </w:pPr>
    </w:p>
    <w:p w14:paraId="0512FC77">
      <w:pPr>
        <w:rPr>
          <w:rFonts w:cs="Arial"/>
          <w:szCs w:val="24"/>
          <w:lang w:val="es-ES"/>
        </w:rPr>
      </w:pPr>
    </w:p>
    <w:p w14:paraId="7FAE4914">
      <w:pPr>
        <w:rPr>
          <w:rFonts w:cs="Arial"/>
          <w:szCs w:val="24"/>
          <w:lang w:val="es-ES"/>
        </w:rPr>
      </w:pPr>
    </w:p>
    <w:p w14:paraId="34566C64">
      <w:pPr>
        <w:rPr>
          <w:rFonts w:cs="Arial"/>
          <w:szCs w:val="24"/>
          <w:lang w:val="es-ES"/>
        </w:rPr>
      </w:pPr>
    </w:p>
    <w:p w14:paraId="0E34BCB0">
      <w:pPr>
        <w:rPr>
          <w:rFonts w:cs="Arial"/>
          <w:szCs w:val="24"/>
          <w:lang w:val="es-ES"/>
        </w:rPr>
      </w:pPr>
    </w:p>
    <w:p w14:paraId="04EDBDCA">
      <w:pPr>
        <w:pStyle w:val="2"/>
      </w:pPr>
      <w:bookmarkStart w:id="3" w:name="_Toc182642786"/>
      <w:bookmarkStart w:id="4" w:name="_Toc151443564"/>
      <w:r>
        <w:t>DEFINICIONES</w:t>
      </w:r>
      <w:bookmarkEnd w:id="3"/>
      <w:bookmarkEnd w:id="4"/>
      <w:bookmarkStart w:id="5" w:name="_Toc56498158"/>
    </w:p>
    <w:p w14:paraId="2F969127">
      <w:pPr>
        <w:pStyle w:val="3"/>
      </w:pPr>
      <w:bookmarkStart w:id="6" w:name="_Toc182642787"/>
      <w:bookmarkStart w:id="7" w:name="_Toc151443565"/>
      <w:r>
        <w:t>Riesgo de Crédito (RC)</w:t>
      </w:r>
      <w:bookmarkEnd w:id="6"/>
      <w:bookmarkEnd w:id="7"/>
    </w:p>
    <w:bookmarkEnd w:id="5"/>
    <w:p w14:paraId="3E4B436F">
      <w:pPr>
        <w:tabs>
          <w:tab w:val="left" w:pos="1128"/>
        </w:tabs>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El riesgo crediticio es la probabilidad de que una organización solidaria incurra en pérdidas y disminuya el valor de sus activos como consecuencia del incumplimiento del pago de las obligaciones contractuales por parte de sus deudores o contraparte.</w:t>
      </w:r>
    </w:p>
    <w:p w14:paraId="6866D0FD">
      <w:pPr>
        <w:pStyle w:val="3"/>
      </w:pPr>
      <w:bookmarkStart w:id="8" w:name="_Toc182642788"/>
      <w:bookmarkStart w:id="9" w:name="_Toc151443566"/>
      <w:bookmarkStart w:id="10" w:name="_Toc56498159"/>
      <w:r>
        <w:t>Crédito de consumo</w:t>
      </w:r>
      <w:bookmarkEnd w:id="8"/>
      <w:bookmarkEnd w:id="9"/>
      <w:bookmarkEnd w:id="10"/>
    </w:p>
    <w:p w14:paraId="4B6C67AE">
      <w:pPr>
        <w:ind w:left="142" w:right="49"/>
        <w:jc w:val="both"/>
        <w:rPr>
          <w:rFonts w:cs="Arial"/>
          <w:color w:val="000000" w:themeColor="text1"/>
          <w:szCs w:val="24"/>
          <w:lang w:bidi="en-US"/>
          <w14:textFill>
            <w14:solidFill>
              <w14:schemeClr w14:val="tx1"/>
            </w14:solidFill>
          </w14:textFill>
        </w:rPr>
      </w:pPr>
      <w:r>
        <w:rPr>
          <w:rFonts w:cs="Arial"/>
          <w:color w:val="000000" w:themeColor="text1"/>
          <w:szCs w:val="24"/>
          <w:lang w:bidi="en-US"/>
          <w14:textFill>
            <w14:solidFill>
              <w14:schemeClr w14:val="tx1"/>
            </w14:solidFill>
          </w14:textFill>
        </w:rPr>
        <w:t>Se entiende por créditos de consumo, independientemente de su monto, los otorgados a personas naturales para financiar la adquisición de bienes de consumo o el pago de servicios para fines no comerciales o empresariales, incluyendo las efectuadas por medio de sistemas de tarjetas de crédito, en ambos casos, independientemente de su monto.</w:t>
      </w:r>
    </w:p>
    <w:p w14:paraId="7E8A1D63">
      <w:pPr>
        <w:pStyle w:val="4"/>
        <w:rPr>
          <w:lang w:bidi="en-US"/>
        </w:rPr>
      </w:pPr>
      <w:bookmarkStart w:id="11" w:name="_Toc182642789"/>
      <w:r>
        <w:rPr>
          <w:lang w:bidi="en-US"/>
        </w:rPr>
        <w:t>4.2.1 Crédito de consumo de bajo monto</w:t>
      </w:r>
      <w:bookmarkEnd w:id="11"/>
    </w:p>
    <w:p w14:paraId="524B5BC5">
      <w:pPr>
        <w:ind w:left="142" w:right="49"/>
        <w:jc w:val="both"/>
        <w:rPr>
          <w:rFonts w:cs="Arial"/>
          <w:color w:val="000000" w:themeColor="text1"/>
          <w:szCs w:val="24"/>
          <w:lang w:bidi="en-US"/>
          <w14:textFill>
            <w14:solidFill>
              <w14:schemeClr w14:val="tx1"/>
            </w14:solidFill>
          </w14:textFill>
        </w:rPr>
      </w:pPr>
      <w:r>
        <w:rPr>
          <w:rFonts w:cs="Arial"/>
          <w:color w:val="000000" w:themeColor="text1"/>
          <w:szCs w:val="24"/>
          <w:lang w:bidi="en-US"/>
          <w14:textFill>
            <w14:solidFill>
              <w14:schemeClr w14:val="tx1"/>
            </w14:solidFill>
          </w14:textFill>
        </w:rPr>
        <w:t>Se entiende por crédito de consumo de bajo monto, el constituido por las operaciones de crédito activo realizadas en los términos del Decreto 2555 de 2010 titulo 16 del libro 1 de la parte 2 y sus modificaciones</w:t>
      </w:r>
    </w:p>
    <w:p w14:paraId="18D25C06">
      <w:pPr>
        <w:pStyle w:val="3"/>
      </w:pPr>
      <w:bookmarkStart w:id="12" w:name="_Toc56498160"/>
      <w:r>
        <w:t xml:space="preserve"> </w:t>
      </w:r>
      <w:bookmarkStart w:id="13" w:name="_Toc151443567"/>
      <w:bookmarkStart w:id="14" w:name="_Toc182642790"/>
      <w:r>
        <w:t>Crédito comercial</w:t>
      </w:r>
      <w:bookmarkEnd w:id="12"/>
      <w:bookmarkEnd w:id="13"/>
      <w:r>
        <w:t xml:space="preserve"> u ordinario</w:t>
      </w:r>
      <w:bookmarkEnd w:id="14"/>
    </w:p>
    <w:p w14:paraId="5921158A">
      <w:pPr>
        <w:ind w:left="142" w:right="49"/>
        <w:jc w:val="both"/>
        <w:rPr>
          <w:rFonts w:cs="Arial"/>
          <w:color w:val="000000" w:themeColor="text1"/>
          <w:szCs w:val="24"/>
          <w:lang w:bidi="en-US"/>
          <w14:textFill>
            <w14:solidFill>
              <w14:schemeClr w14:val="tx1"/>
            </w14:solidFill>
          </w14:textFill>
        </w:rPr>
      </w:pPr>
      <w:r>
        <w:rPr>
          <w:rFonts w:cs="Arial"/>
          <w:color w:val="000000" w:themeColor="text1"/>
          <w:szCs w:val="24"/>
          <w:lang w:bidi="en-US"/>
          <w14:textFill>
            <w14:solidFill>
              <w14:schemeClr w14:val="tx1"/>
            </w14:solidFill>
          </w14:textFill>
        </w:rPr>
        <w:t>Se define como crédito comercial el otorgado a personas naturales y jurídicas para el desarrollo de cualquier actividad económica organizada, distintos a los otorgados bajo cualquiera de las modalidades de crédito previstas en el Decreto 455 del 2023, con excepción del crédito de vivienda a que se refiere la Ley 546 de 1999.</w:t>
      </w:r>
    </w:p>
    <w:p w14:paraId="65443449">
      <w:pPr>
        <w:pStyle w:val="3"/>
      </w:pPr>
      <w:bookmarkStart w:id="15" w:name="_Toc182642791"/>
      <w:bookmarkStart w:id="16" w:name="_Toc11674637"/>
      <w:bookmarkStart w:id="17" w:name="_Toc56498161"/>
      <w:bookmarkStart w:id="18" w:name="_Toc151443568"/>
      <w:r>
        <w:t>Créditos de vivienda</w:t>
      </w:r>
      <w:bookmarkEnd w:id="15"/>
      <w:bookmarkEnd w:id="16"/>
      <w:bookmarkEnd w:id="17"/>
      <w:bookmarkEnd w:id="18"/>
    </w:p>
    <w:p w14:paraId="0496B69B">
      <w:pPr>
        <w:tabs>
          <w:tab w:val="left" w:pos="709"/>
        </w:tabs>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Se entiende por créditos de vivienda, independientemente del monto, los otorgados a personas naturales para la adquisición de vivienda nueva o usada, o para la construcción de vivienda individual.</w:t>
      </w:r>
    </w:p>
    <w:p w14:paraId="24E802DF">
      <w:pPr>
        <w:tabs>
          <w:tab w:val="left" w:pos="709"/>
        </w:tabs>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Estas operaciones deben cumplir con las características y criterios señalados en el artículo 17 de la Ley 546 de 1999 y las reglas previstas en los literales b) y c) del artículo 1° del Decreto 145 de 2000 y demás normas que los modifiquen, complementen o deroguen.</w:t>
      </w:r>
    </w:p>
    <w:p w14:paraId="73C2DF14">
      <w:pPr>
        <w:pStyle w:val="3"/>
      </w:pPr>
      <w:bookmarkStart w:id="19" w:name="_Toc151443569"/>
      <w:bookmarkStart w:id="20" w:name="_Toc56498162"/>
      <w:bookmarkStart w:id="21" w:name="_Toc182642792"/>
      <w:r>
        <w:t>Microcrédito</w:t>
      </w:r>
      <w:bookmarkEnd w:id="19"/>
      <w:bookmarkEnd w:id="20"/>
      <w:bookmarkEnd w:id="21"/>
    </w:p>
    <w:p w14:paraId="15F4F9B4">
      <w:pPr>
        <w:tabs>
          <w:tab w:val="left" w:pos="1128"/>
        </w:tabs>
        <w:ind w:left="142" w:right="49"/>
        <w:jc w:val="both"/>
        <w:rPr>
          <w:rFonts w:cs="Arial"/>
          <w:color w:val="000000" w:themeColor="text1"/>
          <w:szCs w:val="24"/>
          <w:lang w:bidi="en-US"/>
          <w14:textFill>
            <w14:solidFill>
              <w14:schemeClr w14:val="tx1"/>
            </w14:solidFill>
          </w14:textFill>
        </w:rPr>
      </w:pPr>
      <w:r>
        <w:t>Para todos los efectos regulatorios son operaciones activas de microcrédito las que correspondan a la definición establecida en el artículo 12 del Decreto 222 de 2020, siempre y cuando se hayan originado y desembolsado hasta el treinta y uno (31) de marzo de 2023 y conservarán tal condición hasta el agotamiento del saldo</w:t>
      </w:r>
      <w:r>
        <w:rPr>
          <w:rFonts w:cs="Arial"/>
          <w:color w:val="000000" w:themeColor="text1"/>
          <w:szCs w:val="24"/>
          <w:lang w:bidi="en-US"/>
          <w14:textFill>
            <w14:solidFill>
              <w14:schemeClr w14:val="tx1"/>
            </w14:solidFill>
          </w14:textFill>
        </w:rPr>
        <w:t>.</w:t>
      </w:r>
    </w:p>
    <w:p w14:paraId="721C368B">
      <w:pPr>
        <w:tabs>
          <w:tab w:val="left" w:pos="1128"/>
        </w:tabs>
        <w:ind w:left="142" w:right="49"/>
        <w:jc w:val="both"/>
        <w:rPr>
          <w:rFonts w:cs="Arial"/>
          <w:color w:val="000000" w:themeColor="text1"/>
          <w:szCs w:val="24"/>
          <w:lang w:bidi="en-US"/>
          <w14:textFill>
            <w14:solidFill>
              <w14:schemeClr w14:val="tx1"/>
            </w14:solidFill>
          </w14:textFill>
        </w:rPr>
      </w:pPr>
      <w:r>
        <w:t>En el marco de la mencionada definición se entiende por saldo de endeudamiento el monto de las obligaciones vigentes a cargo de la correspondiente microempresa con el sector financiero y otros sectores, que se encuentren en los registros de los operadores de bancos de datos consultados por el respectivo acreedor, excluyendo los créditos hipotecarios para financiación de vivienda y adicionando el valor de la nueva obligación</w:t>
      </w:r>
      <w:r>
        <w:rPr>
          <w:rFonts w:cs="Arial"/>
          <w:color w:val="000000" w:themeColor="text1"/>
          <w:szCs w:val="24"/>
          <w:lang w:bidi="en-US"/>
          <w14:textFill>
            <w14:solidFill>
              <w14:schemeClr w14:val="tx1"/>
            </w14:solidFill>
          </w14:textFill>
        </w:rPr>
        <w:t>.</w:t>
      </w:r>
    </w:p>
    <w:p w14:paraId="3F656FA0">
      <w:pPr>
        <w:tabs>
          <w:tab w:val="left" w:pos="1128"/>
        </w:tabs>
        <w:ind w:left="142" w:right="49"/>
        <w:jc w:val="both"/>
        <w:rPr>
          <w:rFonts w:cs="Arial"/>
          <w:color w:val="000000" w:themeColor="text1"/>
          <w:szCs w:val="24"/>
          <w:lang w:bidi="en-US"/>
          <w14:textFill>
            <w14:solidFill>
              <w14:schemeClr w14:val="tx1"/>
            </w14:solidFill>
          </w14:textFill>
        </w:rPr>
      </w:pPr>
      <w:r>
        <w:rPr>
          <w:rFonts w:cs="Arial"/>
          <w:color w:val="000000" w:themeColor="text1"/>
          <w:szCs w:val="24"/>
          <w:lang w:bidi="en-US"/>
          <w14:textFill>
            <w14:solidFill>
              <w14:schemeClr w14:val="tx1"/>
            </w14:solidFill>
          </w14:textFill>
        </w:rPr>
        <w:t>Se tendrá por definición de microempresa aquella consagrada en las disposiciones normativas vigentes.</w:t>
      </w:r>
    </w:p>
    <w:p w14:paraId="31783427">
      <w:pPr>
        <w:tabs>
          <w:tab w:val="left" w:pos="1128"/>
        </w:tabs>
        <w:ind w:left="142" w:right="49"/>
        <w:jc w:val="both"/>
        <w:rPr>
          <w:rFonts w:cs="Arial"/>
          <w:color w:val="000000" w:themeColor="text1"/>
          <w:szCs w:val="24"/>
          <w:lang w:bidi="en-US"/>
          <w14:textFill>
            <w14:solidFill>
              <w14:schemeClr w14:val="tx1"/>
            </w14:solidFill>
          </w14:textFill>
        </w:rPr>
      </w:pPr>
      <w:r>
        <w:rPr>
          <w:rFonts w:cs="Arial"/>
          <w:color w:val="000000" w:themeColor="text1"/>
          <w:szCs w:val="24"/>
          <w:lang w:bidi="en-US"/>
          <w14:textFill>
            <w14:solidFill>
              <w14:schemeClr w14:val="tx1"/>
            </w14:solidFill>
          </w14:textFill>
        </w:rPr>
        <w:t>La cartera de créditos de todas las modalidades previstas en el presente capítulo, con excepción de los créditos hipotecarios para la financiación de vivienda, deben clasificarse además teniendo en cuenta la naturaleza de las garantías que las amparan (garantía admisible y otras garantías), acogiéndose a lo dispuesto sobre el particular en el Decreto 2555 de 2010 y las normas que lo adicionen, modifiquen o sustituyan.</w:t>
      </w:r>
    </w:p>
    <w:p w14:paraId="6B758CA3">
      <w:pPr>
        <w:tabs>
          <w:tab w:val="left" w:pos="1128"/>
        </w:tabs>
        <w:ind w:left="142" w:right="49"/>
        <w:jc w:val="both"/>
        <w:rPr>
          <w:rFonts w:cs="Arial"/>
          <w:color w:val="000000" w:themeColor="text1"/>
          <w:szCs w:val="24"/>
          <w14:textFill>
            <w14:solidFill>
              <w14:schemeClr w14:val="tx1"/>
            </w14:solidFill>
          </w14:textFill>
        </w:rPr>
      </w:pPr>
      <w:r>
        <w:rPr>
          <w:rFonts w:cs="Arial"/>
          <w:color w:val="000000" w:themeColor="text1"/>
          <w:szCs w:val="24"/>
          <w:lang w:bidi="en-US"/>
          <w14:textFill>
            <w14:solidFill>
              <w14:schemeClr w14:val="tx1"/>
            </w14:solidFill>
          </w14:textFill>
        </w:rPr>
        <w:t>Las menciones efectuadas en este capítulo y sus anexos a la modalidad de microcrédito, se entiende que incluye para todos sus efectos a las modalidades de crédito productivo denominadas: crédito popular productivo rural, crédito popular productivo urbano, crédito productivo rural, crédito productivo urbano y crédito productivo de mayor monto de las que trata el presente capítulo</w:t>
      </w:r>
      <w:r>
        <w:rPr>
          <w:rFonts w:cs="Arial"/>
          <w:color w:val="000000" w:themeColor="text1"/>
          <w:szCs w:val="24"/>
          <w14:textFill>
            <w14:solidFill>
              <w14:schemeClr w14:val="tx1"/>
            </w14:solidFill>
          </w14:textFill>
        </w:rPr>
        <w:t>.</w:t>
      </w:r>
    </w:p>
    <w:p w14:paraId="17A14C91">
      <w:pPr>
        <w:pStyle w:val="3"/>
      </w:pPr>
      <w:bookmarkStart w:id="22" w:name="_Toc182642793"/>
      <w:bookmarkStart w:id="23" w:name="_Toc151443570"/>
      <w:r>
        <w:t>Crédito popular productivo rural</w:t>
      </w:r>
      <w:bookmarkEnd w:id="22"/>
      <w:bookmarkEnd w:id="23"/>
    </w:p>
    <w:p w14:paraId="22031A30">
      <w:pPr>
        <w:tabs>
          <w:tab w:val="left" w:pos="1128"/>
        </w:tabs>
        <w:ind w:left="142" w:right="49"/>
        <w:jc w:val="both"/>
        <w:rPr>
          <w:rFonts w:cs="Arial"/>
          <w:color w:val="000000" w:themeColor="text1"/>
          <w:szCs w:val="24"/>
          <w:lang w:bidi="en-US"/>
          <w14:textFill>
            <w14:solidFill>
              <w14:schemeClr w14:val="tx1"/>
            </w14:solidFill>
          </w14:textFill>
        </w:rPr>
      </w:pPr>
      <w:r>
        <w:rPr>
          <w:rFonts w:cs="Arial"/>
          <w:color w:val="000000" w:themeColor="text1"/>
          <w:szCs w:val="24"/>
          <w:lang w:bidi="en-US"/>
          <w14:textFill>
            <w14:solidFill>
              <w14:schemeClr w14:val="tx1"/>
            </w14:solidFill>
          </w14:textFill>
        </w:rPr>
        <w:t>Se define como crédito popular productivo rural el otorgado a personas naturales o jurídicas para el desarrollo de cualquier actividad económica en zonas rurales y rurales dispersas cuyo monto no exceda de seis (6) salarios mínimos legales vigentes, al momento de la aprobación de la respectiva operación activa de crédito.</w:t>
      </w:r>
    </w:p>
    <w:p w14:paraId="6C107029">
      <w:pPr>
        <w:pStyle w:val="3"/>
      </w:pPr>
      <w:bookmarkStart w:id="24" w:name="_Toc182642794"/>
      <w:bookmarkStart w:id="25" w:name="_Toc151443571"/>
      <w:r>
        <w:t>Crédito popular productivo urbano</w:t>
      </w:r>
      <w:bookmarkEnd w:id="24"/>
      <w:bookmarkEnd w:id="25"/>
    </w:p>
    <w:p w14:paraId="4DABD519">
      <w:pPr>
        <w:tabs>
          <w:tab w:val="left" w:pos="1128"/>
        </w:tabs>
        <w:ind w:left="142" w:right="49"/>
        <w:jc w:val="both"/>
        <w:rPr>
          <w:rFonts w:cs="Arial"/>
          <w:color w:val="000000" w:themeColor="text1"/>
          <w:szCs w:val="24"/>
          <w:lang w:bidi="en-US"/>
          <w14:textFill>
            <w14:solidFill>
              <w14:schemeClr w14:val="tx1"/>
            </w14:solidFill>
          </w14:textFill>
        </w:rPr>
      </w:pPr>
      <w:r>
        <w:rPr>
          <w:rFonts w:cs="Arial"/>
          <w:color w:val="000000" w:themeColor="text1"/>
          <w:szCs w:val="24"/>
          <w:lang w:bidi="en-US"/>
          <w14:textFill>
            <w14:solidFill>
              <w14:schemeClr w14:val="tx1"/>
            </w14:solidFill>
          </w14:textFill>
        </w:rPr>
        <w:t>Se define como crédito popular productivo urbano el otorgado a personas naturales o jurídicas para el desarrollo de cualquier actividad económica en zonas urbanas cuyo monto no exceda de seis (6) salarios mínimos legales vigentes, al momento de la aprobación de la respectiva operación activa de crédito.</w:t>
      </w:r>
    </w:p>
    <w:p w14:paraId="541AF1D4">
      <w:pPr>
        <w:pStyle w:val="3"/>
      </w:pPr>
      <w:bookmarkStart w:id="26" w:name="_Toc182642795"/>
      <w:bookmarkStart w:id="27" w:name="_Toc151443572"/>
      <w:r>
        <w:t>Crédito productivo rural</w:t>
      </w:r>
      <w:bookmarkEnd w:id="26"/>
      <w:bookmarkEnd w:id="27"/>
    </w:p>
    <w:p w14:paraId="28BC3260">
      <w:pPr>
        <w:tabs>
          <w:tab w:val="left" w:pos="1128"/>
        </w:tabs>
        <w:ind w:left="142" w:right="49"/>
        <w:jc w:val="both"/>
        <w:rPr>
          <w:rFonts w:cs="Arial"/>
          <w:color w:val="000000" w:themeColor="text1"/>
          <w:szCs w:val="24"/>
          <w:lang w:bidi="en-US"/>
          <w14:textFill>
            <w14:solidFill>
              <w14:schemeClr w14:val="tx1"/>
            </w14:solidFill>
          </w14:textFill>
        </w:rPr>
      </w:pPr>
      <w:r>
        <w:rPr>
          <w:rFonts w:cs="Arial"/>
          <w:color w:val="000000" w:themeColor="text1"/>
          <w:szCs w:val="24"/>
          <w:lang w:bidi="en-US"/>
          <w14:textFill>
            <w14:solidFill>
              <w14:schemeClr w14:val="tx1"/>
            </w14:solidFill>
          </w14:textFill>
        </w:rPr>
        <w:t>Se define como crédito productivo rural el otorgado a personas naturales o jurídicas para el desarrollo de cualquier actividad económica en zonas rurales y rurales dispersas cuyo monto sea mayor de seis (6) salarios mínimos legales vigentes y hasta veinticinco (25) salarios mínimos legales vigentes, al momento de la aprobación de la respectiva operación activa de crédito</w:t>
      </w:r>
    </w:p>
    <w:p w14:paraId="56E556FA">
      <w:pPr>
        <w:pStyle w:val="3"/>
      </w:pPr>
      <w:bookmarkStart w:id="28" w:name="_Toc182642796"/>
      <w:bookmarkStart w:id="29" w:name="_Toc151443573"/>
      <w:r>
        <w:t>Crédito productivo urbano</w:t>
      </w:r>
      <w:bookmarkEnd w:id="28"/>
      <w:bookmarkEnd w:id="29"/>
    </w:p>
    <w:p w14:paraId="3746A750">
      <w:pPr>
        <w:tabs>
          <w:tab w:val="left" w:pos="1128"/>
        </w:tabs>
        <w:ind w:left="142" w:right="49"/>
        <w:jc w:val="both"/>
        <w:rPr>
          <w:rFonts w:cs="Arial"/>
          <w:color w:val="000000" w:themeColor="text1"/>
          <w:szCs w:val="24"/>
          <w:lang w:bidi="en-US"/>
          <w14:textFill>
            <w14:solidFill>
              <w14:schemeClr w14:val="tx1"/>
            </w14:solidFill>
          </w14:textFill>
        </w:rPr>
      </w:pPr>
      <w:r>
        <w:rPr>
          <w:rFonts w:cs="Arial"/>
          <w:color w:val="000000" w:themeColor="text1"/>
          <w:szCs w:val="24"/>
          <w:lang w:bidi="en-US"/>
          <w14:textFill>
            <w14:solidFill>
              <w14:schemeClr w14:val="tx1"/>
            </w14:solidFill>
          </w14:textFill>
        </w:rPr>
        <w:t>Se define como crédito productivo urbano el otorgado a personas naturales o jurídicas para el desarrollo de cualquier actividad económica en zonas urbanas cuyo monto sea mayor de seis (6) salarios mínimos legales vigentes y hasta veinticinco (25) salarios mínimos legales vigentes, al momento de la aprobación de la respectiva operación activa de crédito.</w:t>
      </w:r>
    </w:p>
    <w:p w14:paraId="2C8D7085">
      <w:pPr>
        <w:pStyle w:val="3"/>
      </w:pPr>
      <w:bookmarkStart w:id="30" w:name="_Toc151443574"/>
      <w:bookmarkStart w:id="31" w:name="_Toc182642797"/>
      <w:r>
        <w:t>Crédito productivo de mayor monto</w:t>
      </w:r>
      <w:bookmarkEnd w:id="30"/>
      <w:bookmarkEnd w:id="31"/>
    </w:p>
    <w:p w14:paraId="49226A98">
      <w:pPr>
        <w:tabs>
          <w:tab w:val="left" w:pos="1128"/>
        </w:tabs>
        <w:ind w:left="142" w:right="49"/>
        <w:jc w:val="both"/>
        <w:rPr>
          <w:rFonts w:cs="Arial"/>
          <w:color w:val="000000" w:themeColor="text1"/>
          <w:szCs w:val="24"/>
          <w:lang w:bidi="en-US"/>
          <w14:textFill>
            <w14:solidFill>
              <w14:schemeClr w14:val="tx1"/>
            </w14:solidFill>
          </w14:textFill>
        </w:rPr>
      </w:pPr>
      <w:r>
        <w:rPr>
          <w:rFonts w:cs="Arial"/>
          <w:color w:val="000000" w:themeColor="text1"/>
          <w:szCs w:val="24"/>
          <w:lang w:bidi="en-US"/>
          <w14:textFill>
            <w14:solidFill>
              <w14:schemeClr w14:val="tx1"/>
            </w14:solidFill>
          </w14:textFill>
        </w:rPr>
        <w:t>Se define como crédito de mayor monto el otorgado a personas naturales o jurídicas para el desarrollo de cualquier actividad económica cuyo monto sea mayor a veinticinco (25) salarios mínimos legales vigentes y hasta ciento veinte (120) salarios mínimos legales vigentes, al momento de la aprobación de la respectiva operación activa de crédito</w:t>
      </w:r>
    </w:p>
    <w:p w14:paraId="48601F9C">
      <w:pPr>
        <w:pStyle w:val="3"/>
      </w:pPr>
      <w:bookmarkStart w:id="32" w:name="_Toc182642798"/>
      <w:bookmarkStart w:id="33" w:name="_Toc151443575"/>
      <w:bookmarkStart w:id="34" w:name="_Toc56498163"/>
      <w:r>
        <w:t>Créditos a asociados, administradores, miembros de juntas de vigilancia y sus parientes</w:t>
      </w:r>
      <w:bookmarkEnd w:id="32"/>
      <w:bookmarkEnd w:id="33"/>
      <w:bookmarkEnd w:id="34"/>
    </w:p>
    <w:p w14:paraId="2AA98E12">
      <w:pPr>
        <w:ind w:left="142" w:right="49"/>
        <w:jc w:val="both"/>
        <w:rPr>
          <w:rFonts w:cs="Arial"/>
          <w:color w:val="000000" w:themeColor="text1"/>
          <w:szCs w:val="24"/>
          <w:lang w:bidi="en-US"/>
          <w14:textFill>
            <w14:solidFill>
              <w14:schemeClr w14:val="tx1"/>
            </w14:solidFill>
          </w14:textFill>
        </w:rPr>
      </w:pPr>
      <w:r>
        <w:rPr>
          <w:rFonts w:cs="Arial"/>
          <w:color w:val="000000" w:themeColor="text1"/>
          <w:szCs w:val="24"/>
          <w:lang w:bidi="en-US"/>
          <w14:textFill>
            <w14:solidFill>
              <w14:schemeClr w14:val="tx1"/>
            </w14:solidFill>
          </w14:textFill>
        </w:rPr>
        <w:t>Operaciones con asociados, administradores, miembros de las juntas de vigilancia y sus parientes, a que se refiere el artículo 61, de la ley 454 de 1998, modificado por el art. 109, de la Ley 795 de 2003.</w:t>
      </w:r>
    </w:p>
    <w:p w14:paraId="45BC1FAE">
      <w:pPr>
        <w:pStyle w:val="3"/>
      </w:pPr>
      <w:bookmarkStart w:id="35" w:name="_Toc56498164"/>
      <w:bookmarkStart w:id="36" w:name="_Toc151443576"/>
      <w:bookmarkStart w:id="37" w:name="_Toc182642799"/>
      <w:r>
        <w:t>Vinculados y partes relacionadas</w:t>
      </w:r>
      <w:bookmarkEnd w:id="35"/>
      <w:bookmarkEnd w:id="36"/>
      <w:bookmarkEnd w:id="37"/>
    </w:p>
    <w:p w14:paraId="5D183990">
      <w:pPr>
        <w:ind w:left="142" w:right="49"/>
        <w:jc w:val="both"/>
        <w:rPr>
          <w:rFonts w:cs="Arial"/>
          <w:color w:val="000000" w:themeColor="text1"/>
          <w:szCs w:val="24"/>
          <w:lang w:bidi="en-US"/>
          <w14:textFill>
            <w14:solidFill>
              <w14:schemeClr w14:val="tx1"/>
            </w14:solidFill>
          </w14:textFill>
        </w:rPr>
      </w:pPr>
      <w:r>
        <w:rPr>
          <w:rFonts w:cs="Arial"/>
          <w:color w:val="000000" w:themeColor="text1"/>
          <w:szCs w:val="24"/>
          <w:lang w:bidi="en-US"/>
          <w14:textFill>
            <w14:solidFill>
              <w14:schemeClr w14:val="tx1"/>
            </w14:solidFill>
          </w14:textFill>
        </w:rPr>
        <w:t>Una parte relacionada o vinculada es una persona o entidad que está relacionada con la organización que prepara sus estados financieros.</w:t>
      </w:r>
    </w:p>
    <w:p w14:paraId="056543F9">
      <w:pPr>
        <w:ind w:left="142" w:right="49"/>
        <w:jc w:val="both"/>
        <w:rPr>
          <w:rFonts w:cs="Arial"/>
          <w:color w:val="000000" w:themeColor="text1"/>
          <w:szCs w:val="24"/>
          <w:lang w:bidi="en-US"/>
          <w14:textFill>
            <w14:solidFill>
              <w14:schemeClr w14:val="tx1"/>
            </w14:solidFill>
          </w14:textFill>
        </w:rPr>
      </w:pPr>
      <w:r>
        <w:rPr>
          <w:rFonts w:cs="Arial"/>
          <w:color w:val="000000" w:themeColor="text1"/>
          <w:szCs w:val="24"/>
          <w:lang w:bidi="en-US"/>
          <w14:textFill>
            <w14:solidFill>
              <w14:schemeClr w14:val="tx1"/>
            </w14:solidFill>
          </w14:textFill>
        </w:rPr>
        <w:t xml:space="preserve">En el caso de personas: </w:t>
      </w:r>
      <w:r>
        <w:rPr>
          <w:rFonts w:cs="Arial"/>
          <w:b/>
          <w:bCs/>
          <w:color w:val="000000" w:themeColor="text1"/>
          <w:szCs w:val="24"/>
          <w:lang w:bidi="en-US"/>
          <w14:textFill>
            <w14:solidFill>
              <w14:schemeClr w14:val="tx1"/>
            </w14:solidFill>
          </w14:textFill>
        </w:rPr>
        <w:t>Miembro del personal clave de la gerencia</w:t>
      </w:r>
      <w:r>
        <w:rPr>
          <w:rFonts w:cs="Arial"/>
          <w:color w:val="000000" w:themeColor="text1"/>
          <w:szCs w:val="24"/>
          <w:lang w:bidi="en-US"/>
          <w14:textFill>
            <w14:solidFill>
              <w14:schemeClr w14:val="tx1"/>
            </w14:solidFill>
          </w14:textFill>
        </w:rPr>
        <w:t xml:space="preserve"> y aquellas que ejercen control o control conjunto o influencia significativa sobre la organización solidaria.</w:t>
      </w:r>
    </w:p>
    <w:p w14:paraId="18ED6833">
      <w:pPr>
        <w:ind w:left="142" w:right="49"/>
        <w:jc w:val="both"/>
        <w:rPr>
          <w:rFonts w:cs="Arial"/>
          <w:color w:val="000000" w:themeColor="text1"/>
          <w:szCs w:val="24"/>
          <w:lang w:bidi="en-US"/>
          <w14:textFill>
            <w14:solidFill>
              <w14:schemeClr w14:val="tx1"/>
            </w14:solidFill>
          </w14:textFill>
        </w:rPr>
      </w:pPr>
      <w:r>
        <w:rPr>
          <w:rFonts w:cs="Arial"/>
          <w:color w:val="000000" w:themeColor="text1"/>
          <w:szCs w:val="24"/>
          <w:lang w:bidi="en-US"/>
          <w14:textFill>
            <w14:solidFill>
              <w14:schemeClr w14:val="tx1"/>
            </w14:solidFill>
          </w14:textFill>
        </w:rPr>
        <w:t>Para el caso de una entidad: Subsidiarias, asociadas, o un negocio conjunto, controladora, o cuando la entidad es un plan de beneficios post-empleo para los trabajadores de la organización que informa.</w:t>
      </w:r>
    </w:p>
    <w:p w14:paraId="66C31D9A">
      <w:pPr>
        <w:pStyle w:val="3"/>
        <w:rPr>
          <w:rFonts w:eastAsiaTheme="majorEastAsia"/>
        </w:rPr>
      </w:pPr>
      <w:bookmarkStart w:id="38" w:name="_Toc182642800"/>
      <w:bookmarkStart w:id="39" w:name="_Toc151443577"/>
      <w:r>
        <w:t>Novación</w:t>
      </w:r>
      <w:bookmarkEnd w:id="38"/>
      <w:bookmarkEnd w:id="39"/>
    </w:p>
    <w:p w14:paraId="66539C2C">
      <w:pPr>
        <w:tabs>
          <w:tab w:val="left" w:pos="3932"/>
          <w:tab w:val="center" w:pos="4536"/>
        </w:tabs>
        <w:ind w:left="142" w:right="49"/>
        <w:jc w:val="both"/>
        <w:rPr>
          <w:rFonts w:cs="Arial"/>
          <w:bCs/>
          <w:color w:val="000000" w:themeColor="text1"/>
          <w:szCs w:val="24"/>
          <w:lang w:val="es-MX"/>
          <w14:textFill>
            <w14:solidFill>
              <w14:schemeClr w14:val="tx1"/>
            </w14:solidFill>
          </w14:textFill>
        </w:rPr>
      </w:pPr>
      <w:r>
        <w:rPr>
          <w:rFonts w:cs="Arial"/>
          <w:bCs/>
          <w:color w:val="000000" w:themeColor="text1"/>
          <w:szCs w:val="24"/>
          <w:lang w:val="es-MX"/>
          <w14:textFill>
            <w14:solidFill>
              <w14:schemeClr w14:val="tx1"/>
            </w14:solidFill>
          </w14:textFill>
        </w:rPr>
        <w:t>La novación es la sustitución de una nueva obligación a otra anterior, la cual queda por tanto extinguida de conformidad con lo previsto en el artículo 1687 del Código Civil. Los tipos de novación, según lo establecido en el artículo 1690 del Código Civil:</w:t>
      </w:r>
    </w:p>
    <w:p w14:paraId="309B2E29">
      <w:pPr>
        <w:pStyle w:val="67"/>
        <w:numPr>
          <w:ilvl w:val="0"/>
          <w:numId w:val="9"/>
        </w:numPr>
        <w:tabs>
          <w:tab w:val="left" w:pos="3932"/>
          <w:tab w:val="center" w:pos="4536"/>
        </w:tabs>
        <w:ind w:left="284" w:right="49" w:hanging="142"/>
        <w:jc w:val="both"/>
        <w:rPr>
          <w:rFonts w:cs="Arial"/>
          <w:bCs/>
          <w:color w:val="000000" w:themeColor="text1"/>
          <w:szCs w:val="24"/>
          <w:lang w:val="es-MX"/>
          <w14:textFill>
            <w14:solidFill>
              <w14:schemeClr w14:val="tx1"/>
            </w14:solidFill>
          </w14:textFill>
        </w:rPr>
      </w:pPr>
      <w:r>
        <w:rPr>
          <w:rFonts w:cs="Arial"/>
          <w:bCs/>
          <w:color w:val="000000" w:themeColor="text1"/>
          <w:szCs w:val="24"/>
          <w:lang w:val="es-MX"/>
          <w14:textFill>
            <w14:solidFill>
              <w14:schemeClr w14:val="tx1"/>
            </w14:solidFill>
          </w14:textFill>
        </w:rPr>
        <w:t>Sustituyéndose una nueva obligación a otra, sin que intervenga nuevo acreedor o deudor.</w:t>
      </w:r>
    </w:p>
    <w:p w14:paraId="4C469D21">
      <w:pPr>
        <w:pStyle w:val="67"/>
        <w:numPr>
          <w:ilvl w:val="0"/>
          <w:numId w:val="9"/>
        </w:numPr>
        <w:tabs>
          <w:tab w:val="left" w:pos="3932"/>
          <w:tab w:val="center" w:pos="4536"/>
        </w:tabs>
        <w:ind w:left="284" w:right="49" w:hanging="142"/>
        <w:jc w:val="both"/>
        <w:rPr>
          <w:rFonts w:cs="Arial"/>
          <w:bCs/>
          <w:color w:val="000000" w:themeColor="text1"/>
          <w:szCs w:val="24"/>
          <w:lang w:val="es-MX"/>
          <w14:textFill>
            <w14:solidFill>
              <w14:schemeClr w14:val="tx1"/>
            </w14:solidFill>
          </w14:textFill>
        </w:rPr>
      </w:pPr>
      <w:r>
        <w:rPr>
          <w:rFonts w:cs="Arial"/>
          <w:bCs/>
          <w:color w:val="000000" w:themeColor="text1"/>
          <w:szCs w:val="24"/>
          <w:lang w:val="es-MX"/>
          <w14:textFill>
            <w14:solidFill>
              <w14:schemeClr w14:val="tx1"/>
            </w14:solidFill>
          </w14:textFill>
        </w:rPr>
        <w:t>Contrayendo el deudor una nueva obligación respecto de un tercero, y declarándole en consecuencia libre de la obligación primitiva el primer acreedor.</w:t>
      </w:r>
    </w:p>
    <w:p w14:paraId="4C06EAB5">
      <w:pPr>
        <w:pStyle w:val="67"/>
        <w:numPr>
          <w:ilvl w:val="0"/>
          <w:numId w:val="9"/>
        </w:numPr>
        <w:tabs>
          <w:tab w:val="left" w:pos="3932"/>
          <w:tab w:val="center" w:pos="4536"/>
        </w:tabs>
        <w:ind w:left="284" w:right="49" w:hanging="142"/>
        <w:jc w:val="both"/>
        <w:rPr>
          <w:rFonts w:cs="Arial"/>
          <w:bCs/>
          <w:color w:val="000000" w:themeColor="text1"/>
          <w:szCs w:val="24"/>
          <w:lang w:val="es-MX"/>
          <w14:textFill>
            <w14:solidFill>
              <w14:schemeClr w14:val="tx1"/>
            </w14:solidFill>
          </w14:textFill>
        </w:rPr>
      </w:pPr>
      <w:r>
        <w:rPr>
          <w:rFonts w:cs="Arial"/>
          <w:bCs/>
          <w:color w:val="000000" w:themeColor="text1"/>
          <w:szCs w:val="24"/>
          <w:lang w:val="es-MX"/>
          <w14:textFill>
            <w14:solidFill>
              <w14:schemeClr w14:val="tx1"/>
            </w14:solidFill>
          </w14:textFill>
        </w:rPr>
        <w:t xml:space="preserve">Sustituyéndose un nuevo deudor al antiguo, que en consecuencia queda libre. </w:t>
      </w:r>
    </w:p>
    <w:p w14:paraId="1E06C62F">
      <w:pPr>
        <w:rPr>
          <w:rFonts w:cs="Arial"/>
          <w:szCs w:val="24"/>
          <w:lang w:val="es-ES"/>
        </w:rPr>
      </w:pPr>
    </w:p>
    <w:p w14:paraId="07FDC2F7">
      <w:pPr>
        <w:rPr>
          <w:rFonts w:cs="Arial"/>
          <w:szCs w:val="24"/>
          <w:lang w:val="es-ES"/>
        </w:rPr>
      </w:pPr>
    </w:p>
    <w:p w14:paraId="37EE2523">
      <w:pPr>
        <w:rPr>
          <w:rFonts w:cs="Arial"/>
          <w:szCs w:val="24"/>
          <w:lang w:val="es-ES"/>
        </w:rPr>
      </w:pPr>
    </w:p>
    <w:p w14:paraId="744C3861">
      <w:pPr>
        <w:rPr>
          <w:rFonts w:cs="Arial"/>
          <w:szCs w:val="24"/>
          <w:lang w:val="es-ES"/>
        </w:rPr>
      </w:pPr>
    </w:p>
    <w:p w14:paraId="65D8927D">
      <w:pPr>
        <w:rPr>
          <w:rFonts w:cs="Arial"/>
          <w:szCs w:val="24"/>
          <w:lang w:val="es-ES"/>
        </w:rPr>
      </w:pPr>
    </w:p>
    <w:p w14:paraId="70903441">
      <w:pPr>
        <w:rPr>
          <w:rFonts w:cs="Arial"/>
          <w:szCs w:val="24"/>
          <w:lang w:val="es-ES"/>
        </w:rPr>
      </w:pPr>
    </w:p>
    <w:p w14:paraId="723FACF4">
      <w:pPr>
        <w:rPr>
          <w:rFonts w:cs="Arial"/>
          <w:szCs w:val="24"/>
          <w:lang w:val="es-ES"/>
        </w:rPr>
      </w:pPr>
    </w:p>
    <w:p w14:paraId="60943748">
      <w:pPr>
        <w:rPr>
          <w:rFonts w:cs="Arial"/>
          <w:szCs w:val="24"/>
          <w:lang w:val="es-ES"/>
        </w:rPr>
      </w:pPr>
    </w:p>
    <w:p w14:paraId="41BB6E5E">
      <w:pPr>
        <w:rPr>
          <w:rFonts w:cs="Arial"/>
          <w:szCs w:val="24"/>
          <w:lang w:val="es-ES"/>
        </w:rPr>
      </w:pPr>
    </w:p>
    <w:p w14:paraId="7EB2F0A9">
      <w:pPr>
        <w:rPr>
          <w:rFonts w:cs="Arial"/>
          <w:szCs w:val="24"/>
          <w:lang w:val="es-ES"/>
        </w:rPr>
      </w:pPr>
    </w:p>
    <w:p w14:paraId="4DD3F91E">
      <w:pPr>
        <w:rPr>
          <w:rFonts w:cs="Arial"/>
          <w:szCs w:val="24"/>
          <w:lang w:val="es-ES"/>
        </w:rPr>
      </w:pPr>
    </w:p>
    <w:p w14:paraId="6847951C">
      <w:pPr>
        <w:rPr>
          <w:rFonts w:cs="Arial"/>
          <w:szCs w:val="24"/>
          <w:lang w:val="es-ES"/>
        </w:rPr>
      </w:pPr>
    </w:p>
    <w:p w14:paraId="5F91575A">
      <w:pPr>
        <w:rPr>
          <w:rFonts w:cs="Arial"/>
          <w:szCs w:val="24"/>
          <w:lang w:val="es-ES"/>
        </w:rPr>
      </w:pPr>
    </w:p>
    <w:p w14:paraId="1C4A80E2">
      <w:pPr>
        <w:rPr>
          <w:rFonts w:cs="Arial"/>
          <w:szCs w:val="24"/>
          <w:lang w:val="es-ES"/>
        </w:rPr>
      </w:pPr>
    </w:p>
    <w:p w14:paraId="1DB173FF">
      <w:pPr>
        <w:rPr>
          <w:rFonts w:cs="Arial"/>
          <w:szCs w:val="24"/>
          <w:lang w:val="es-ES"/>
        </w:rPr>
      </w:pPr>
    </w:p>
    <w:p w14:paraId="4B8237EC">
      <w:pPr>
        <w:pStyle w:val="2"/>
      </w:pPr>
      <w:bookmarkStart w:id="40" w:name="_Toc151443578"/>
      <w:bookmarkStart w:id="41" w:name="_Toc182642801"/>
      <w:r>
        <w:t>ESTRUCTURA ORGANIZACIONAL:</w:t>
      </w:r>
      <w:bookmarkEnd w:id="40"/>
      <w:bookmarkEnd w:id="41"/>
      <w:r>
        <w:t xml:space="preserve"> </w:t>
      </w:r>
    </w:p>
    <w:p w14:paraId="565EC6A6">
      <w:pPr>
        <w:jc w:val="both"/>
        <w:rPr>
          <w:rFonts w:cs="Arial"/>
          <w:szCs w:val="24"/>
          <w:lang w:val="es-ES"/>
        </w:rPr>
      </w:pPr>
      <w:r>
        <w:rPr>
          <w:rFonts w:cs="Arial"/>
          <w:szCs w:val="24"/>
          <w:lang w:val="es-ES"/>
        </w:rPr>
        <w:t>Existe independencia entre las áreas de la Entidad, de manera que se ejerzan los controles necesarios y que exista dolientes y responsables para todos los procesos definidos.</w:t>
      </w:r>
    </w:p>
    <w:p w14:paraId="1364EBD7">
      <w:pPr>
        <w:jc w:val="both"/>
        <w:rPr>
          <w:rFonts w:cs="Arial"/>
          <w:szCs w:val="24"/>
          <w:lang w:val="es-ES"/>
        </w:rPr>
      </w:pPr>
      <w:r>
        <w:rPr>
          <w:rFonts w:cs="Arial"/>
          <w:szCs w:val="24"/>
          <w:lang w:val="es-ES"/>
        </w:rPr>
        <w:t>El personal deberá estar capacitado y será contratado de acuerdo con los perfiles definidos para cada cargo y serán evaluados periódicamente.</w:t>
      </w:r>
    </w:p>
    <w:p w14:paraId="2E7A49B0">
      <w:pPr>
        <w:jc w:val="both"/>
        <w:rPr>
          <w:rFonts w:cs="Arial"/>
          <w:szCs w:val="24"/>
          <w:lang w:val="es-ES"/>
        </w:rPr>
      </w:pPr>
      <w:r>
        <w:rPr>
          <w:rFonts w:cs="Arial"/>
          <w:szCs w:val="24"/>
          <w:lang w:val="es-ES"/>
        </w:rPr>
        <w:t>Las funciones y sus procedimientos deberán estar debidamente documentados en manuales y debe existir estrategias claras de capacitación.</w:t>
      </w:r>
    </w:p>
    <w:p w14:paraId="20356F19">
      <w:pPr>
        <w:jc w:val="both"/>
        <w:rPr>
          <w:rFonts w:cs="Arial"/>
          <w:szCs w:val="24"/>
          <w:lang w:val="es-ES"/>
        </w:rPr>
      </w:pPr>
    </w:p>
    <w:p w14:paraId="14B7B00C">
      <w:pPr>
        <w:jc w:val="both"/>
        <w:rPr>
          <w:rFonts w:cs="Arial"/>
          <w:szCs w:val="24"/>
          <w:lang w:val="es-ES"/>
        </w:rPr>
      </w:pPr>
      <w:r>
        <w:rPr>
          <w14:ligatures w14:val="standardContextual"/>
        </w:rPr>
        <w:drawing>
          <wp:inline distT="0" distB="0" distL="0" distR="0">
            <wp:extent cx="6057900" cy="4200525"/>
            <wp:effectExtent l="0" t="0" r="0" b="9525"/>
            <wp:docPr id="170467999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679994" name="Imagen 1"/>
                    <pic:cNvPicPr>
                      <a:picLocks noChangeAspect="1"/>
                    </pic:cNvPicPr>
                  </pic:nvPicPr>
                  <pic:blipFill>
                    <a:blip r:embed="rId7"/>
                    <a:stretch>
                      <a:fillRect/>
                    </a:stretch>
                  </pic:blipFill>
                  <pic:spPr>
                    <a:xfrm>
                      <a:off x="0" y="0"/>
                      <a:ext cx="6057900" cy="4200525"/>
                    </a:xfrm>
                    <a:prstGeom prst="rect">
                      <a:avLst/>
                    </a:prstGeom>
                  </pic:spPr>
                </pic:pic>
              </a:graphicData>
            </a:graphic>
          </wp:inline>
        </w:drawing>
      </w:r>
    </w:p>
    <w:p w14:paraId="0BCE746A">
      <w:pPr>
        <w:pStyle w:val="3"/>
      </w:pPr>
      <w:bookmarkStart w:id="42" w:name="_Toc151443579"/>
      <w:bookmarkStart w:id="43" w:name="_Toc182642802"/>
      <w:bookmarkStart w:id="44" w:name="_Toc56498204"/>
      <w:r>
        <w:t>Del Consejo De Administración</w:t>
      </w:r>
      <w:bookmarkEnd w:id="42"/>
      <w:bookmarkEnd w:id="43"/>
      <w:r>
        <w:t xml:space="preserve"> </w:t>
      </w:r>
      <w:bookmarkEnd w:id="44"/>
    </w:p>
    <w:p w14:paraId="0A54CFCB">
      <w:pPr>
        <w:numPr>
          <w:ilvl w:val="0"/>
          <w:numId w:val="10"/>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Aprobar las políticas para la administración del riesgo de crédito, que incluye la definición de límites de exposición y </w:t>
      </w:r>
      <w:r>
        <w:rPr>
          <w:rFonts w:cs="Arial"/>
          <w:bCs/>
          <w:color w:val="000000" w:themeColor="text1"/>
          <w:szCs w:val="24"/>
          <w14:textFill>
            <w14:solidFill>
              <w14:schemeClr w14:val="tx1"/>
            </w14:solidFill>
          </w14:textFill>
        </w:rPr>
        <w:t>apetito al riesgo</w:t>
      </w:r>
      <w:r>
        <w:rPr>
          <w:rFonts w:cs="Arial"/>
          <w:color w:val="000000" w:themeColor="text1"/>
          <w:szCs w:val="24"/>
          <w14:textFill>
            <w14:solidFill>
              <w14:schemeClr w14:val="tx1"/>
            </w14:solidFill>
          </w14:textFill>
        </w:rPr>
        <w:t xml:space="preserve"> de crédito, teniendo en cuenta que deben estar alineados con el plan estratégico, comercial, el presupuesto, entre otros de la entidad.</w:t>
      </w:r>
    </w:p>
    <w:p w14:paraId="72B44495">
      <w:pPr>
        <w:numPr>
          <w:ilvl w:val="0"/>
          <w:numId w:val="10"/>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Aprobar la estructura organizacional y tecnológica del SARC.</w:t>
      </w:r>
    </w:p>
    <w:p w14:paraId="08B7FDEB">
      <w:pPr>
        <w:numPr>
          <w:ilvl w:val="0"/>
          <w:numId w:val="10"/>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Aprobar las metodologías y/o procedimientos utilizados para el otorgamiento, seguimiento y recuperación de la cartera.</w:t>
      </w:r>
    </w:p>
    <w:p w14:paraId="1594E888">
      <w:pPr>
        <w:numPr>
          <w:ilvl w:val="0"/>
          <w:numId w:val="10"/>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Aprobar los reglamentos, manuales de procedimientos y funciones de las áreas involucradas en el proceso de crédito y en la gestión del riesgo de crédito, así como sus respectivas actualizaciones.</w:t>
      </w:r>
    </w:p>
    <w:p w14:paraId="0CA959D0">
      <w:pPr>
        <w:numPr>
          <w:ilvl w:val="0"/>
          <w:numId w:val="10"/>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Definir las instancias para la aprobación de créditos y los niveles de atribuciones para cada una de ellas.</w:t>
      </w:r>
    </w:p>
    <w:p w14:paraId="57E74113">
      <w:pPr>
        <w:numPr>
          <w:ilvl w:val="0"/>
          <w:numId w:val="10"/>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lang w:eastAsia="es-CO"/>
          <w14:textFill>
            <w14:solidFill>
              <w14:schemeClr w14:val="tx1"/>
            </w14:solidFill>
          </w14:textFill>
        </w:rPr>
        <w:t>Aprobar los créditos de directivos, sus familiares y de los asociados que posean más del 5% de los aportes sociales, de acuerdo con el artículo 106 de la Ley 795 de 2003.</w:t>
      </w:r>
    </w:p>
    <w:p w14:paraId="5DB85ECD">
      <w:pPr>
        <w:numPr>
          <w:ilvl w:val="0"/>
          <w:numId w:val="10"/>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Aprobar las excepciones a las políticas internas, previa recomendación por parte del comité o área responsable y del representante legal, junto con el soporte técnico correspondiente.</w:t>
      </w:r>
    </w:p>
    <w:p w14:paraId="0519C3B4">
      <w:pPr>
        <w:numPr>
          <w:ilvl w:val="0"/>
          <w:numId w:val="10"/>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Evaluar y aprobar los resultados del proceso de evaluación de cartera en cuanto a recalificación de créditos y registro de deterioro, presentados por el comité de riesgos.</w:t>
      </w:r>
    </w:p>
    <w:p w14:paraId="48759314">
      <w:pPr>
        <w:numPr>
          <w:ilvl w:val="0"/>
          <w:numId w:val="10"/>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Garantizar la asignación de recursos humanos, físicos, financieros y técnicos para el adecuado desarrollo del SARC.</w:t>
      </w:r>
    </w:p>
    <w:p w14:paraId="61983311">
      <w:pPr>
        <w:numPr>
          <w:ilvl w:val="0"/>
          <w:numId w:val="10"/>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Evaluar las propuestas de mejora al SARC que le presente el representante legal o el comité de riesgos y pronunciarse expresamente sobre ellas.</w:t>
      </w:r>
    </w:p>
    <w:p w14:paraId="26EBF3FC">
      <w:pPr>
        <w:numPr>
          <w:ilvl w:val="0"/>
          <w:numId w:val="10"/>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Exigir a la administración reporte mensual sobre la situación del SARC de la entidad y señalar las características de estos informes.</w:t>
      </w:r>
    </w:p>
    <w:p w14:paraId="44FBD819">
      <w:pPr>
        <w:numPr>
          <w:ilvl w:val="0"/>
          <w:numId w:val="10"/>
        </w:numPr>
        <w:spacing w:after="0" w:line="240" w:lineRule="auto"/>
        <w:ind w:left="426" w:right="49" w:hanging="284"/>
        <w:jc w:val="both"/>
        <w:rPr>
          <w:rFonts w:cs="Arial"/>
          <w:bCs/>
          <w:color w:val="000000" w:themeColor="text1"/>
          <w:szCs w:val="24"/>
          <w14:textFill>
            <w14:solidFill>
              <w14:schemeClr w14:val="tx1"/>
            </w14:solidFill>
          </w14:textFill>
        </w:rPr>
      </w:pPr>
      <w:r>
        <w:rPr>
          <w:rFonts w:cs="Arial"/>
          <w:bCs/>
          <w:color w:val="000000" w:themeColor="text1"/>
          <w:szCs w:val="24"/>
          <w14:textFill>
            <w14:solidFill>
              <w14:schemeClr w14:val="tx1"/>
            </w14:solidFill>
          </w14:textFill>
        </w:rPr>
        <w:t xml:space="preserve">Pronunciarse y hacer seguimiento a los reportes periódicos de exposición al riesgo crediticio que presente el comité de riesgos o el responsable de la gestión de riesgos de la </w:t>
      </w:r>
      <w:r>
        <w:rPr>
          <w:rFonts w:cs="Arial"/>
          <w:color w:val="000000" w:themeColor="text1"/>
          <w:szCs w:val="24"/>
          <w14:textFill>
            <w14:solidFill>
              <w14:schemeClr w14:val="tx1"/>
            </w14:solidFill>
          </w14:textFill>
        </w:rPr>
        <w:t xml:space="preserve">organización solidaria </w:t>
      </w:r>
      <w:r>
        <w:rPr>
          <w:rFonts w:cs="Arial"/>
          <w:bCs/>
          <w:color w:val="000000" w:themeColor="text1"/>
          <w:szCs w:val="24"/>
          <w14:textFill>
            <w14:solidFill>
              <w14:schemeClr w14:val="tx1"/>
            </w14:solidFill>
          </w14:textFill>
        </w:rPr>
        <w:t>y los órganos de control, dejando constancia en las actas de las reuniones respectivas.</w:t>
      </w:r>
    </w:p>
    <w:p w14:paraId="0C9E10D9">
      <w:pPr>
        <w:numPr>
          <w:ilvl w:val="0"/>
          <w:numId w:val="10"/>
        </w:numPr>
        <w:spacing w:after="0" w:line="240" w:lineRule="auto"/>
        <w:ind w:left="426" w:right="49" w:hanging="284"/>
        <w:jc w:val="both"/>
        <w:rPr>
          <w:rFonts w:cs="Arial"/>
          <w:color w:val="000000" w:themeColor="text1"/>
          <w:szCs w:val="24"/>
          <w14:textFill>
            <w14:solidFill>
              <w14:schemeClr w14:val="tx1"/>
            </w14:solidFill>
          </w14:textFill>
        </w:rPr>
      </w:pPr>
      <w:r>
        <w:rPr>
          <w:rFonts w:cs="Arial"/>
          <w:bCs/>
          <w:color w:val="000000" w:themeColor="text1"/>
          <w:szCs w:val="24"/>
          <w14:textFill>
            <w14:solidFill>
              <w14:schemeClr w14:val="tx1"/>
            </w14:solidFill>
          </w14:textFill>
        </w:rPr>
        <w:t xml:space="preserve">Pronunciarse y hacer seguimiento sobre los reportes que presente el </w:t>
      </w:r>
      <w:r>
        <w:rPr>
          <w:rFonts w:cs="Arial"/>
          <w:color w:val="000000" w:themeColor="text1"/>
          <w:szCs w:val="24"/>
          <w14:textFill>
            <w14:solidFill>
              <w14:schemeClr w14:val="tx1"/>
            </w14:solidFill>
          </w14:textFill>
        </w:rPr>
        <w:t xml:space="preserve">Representante Legal sobre las medidas correctivas aplicadas para que se cumplan los límites de riesgo de crédito, </w:t>
      </w:r>
      <w:r>
        <w:rPr>
          <w:rFonts w:cs="Arial"/>
          <w:bCs/>
          <w:color w:val="000000" w:themeColor="text1"/>
          <w:szCs w:val="24"/>
          <w14:textFill>
            <w14:solidFill>
              <w14:schemeClr w14:val="tx1"/>
            </w14:solidFill>
          </w14:textFill>
        </w:rPr>
        <w:t>al igual que las mejoras al SARC,</w:t>
      </w:r>
      <w:r>
        <w:rPr>
          <w:rFonts w:cs="Arial"/>
          <w:color w:val="000000" w:themeColor="text1"/>
          <w:szCs w:val="24"/>
          <w14:textFill>
            <w14:solidFill>
              <w14:schemeClr w14:val="tx1"/>
            </w14:solidFill>
          </w14:textFill>
        </w:rPr>
        <w:t xml:space="preserve"> dejando constancia en las actas de las reuniones respectivas.</w:t>
      </w:r>
    </w:p>
    <w:p w14:paraId="26F91F8A">
      <w:pPr>
        <w:numPr>
          <w:ilvl w:val="0"/>
          <w:numId w:val="10"/>
        </w:numPr>
        <w:spacing w:after="0" w:line="240" w:lineRule="auto"/>
        <w:ind w:left="426" w:right="49" w:hanging="284"/>
        <w:jc w:val="both"/>
        <w:rPr>
          <w:rFonts w:cs="Arial"/>
          <w:color w:val="000000" w:themeColor="text1"/>
          <w:szCs w:val="24"/>
          <w14:textFill>
            <w14:solidFill>
              <w14:schemeClr w14:val="tx1"/>
            </w14:solidFill>
          </w14:textFill>
        </w:rPr>
      </w:pPr>
      <w:r>
        <w:t>Aprobar los procedimientos de control interno del SARC que seguirá el</w:t>
      </w:r>
      <w:r>
        <w:rPr>
          <w:rFonts w:cs="Arial"/>
          <w:color w:val="000000" w:themeColor="text1"/>
          <w:szCs w:val="24"/>
          <w14:textFill>
            <w14:solidFill>
              <w14:schemeClr w14:val="tx1"/>
            </w14:solidFill>
          </w14:textFill>
        </w:rPr>
        <w:t xml:space="preserve"> encargado de dicha función.</w:t>
      </w:r>
    </w:p>
    <w:p w14:paraId="3E3BA848">
      <w:pPr>
        <w:numPr>
          <w:ilvl w:val="0"/>
          <w:numId w:val="10"/>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Efectuar un monitoreo periódico al cumplimiento de los lineamientos del SARC y a la gestión del riesgo de crédito, dejando constancia de sus pronunciamientos en el acta de las reuniones respectivas.</w:t>
      </w:r>
    </w:p>
    <w:p w14:paraId="11B3A003">
      <w:pPr>
        <w:pStyle w:val="3"/>
      </w:pPr>
      <w:bookmarkStart w:id="45" w:name="_Toc182642803"/>
      <w:bookmarkStart w:id="46" w:name="_Toc151443580"/>
      <w:r>
        <w:t>Funcionarios</w:t>
      </w:r>
      <w:bookmarkEnd w:id="45"/>
      <w:bookmarkEnd w:id="46"/>
    </w:p>
    <w:p w14:paraId="330E3C00">
      <w:pPr>
        <w:ind w:left="142" w:right="49"/>
        <w:jc w:val="both"/>
        <w:rPr>
          <w:rFonts w:cs="Arial"/>
          <w:color w:val="000000" w:themeColor="text1"/>
          <w:szCs w:val="24"/>
          <w14:textFill>
            <w14:solidFill>
              <w14:schemeClr w14:val="tx1"/>
            </w14:solidFill>
          </w14:textFill>
        </w:rPr>
      </w:pPr>
    </w:p>
    <w:p w14:paraId="4420AC95">
      <w:pPr>
        <w:ind w:left="142" w:right="49"/>
        <w:jc w:val="both"/>
        <w:rPr>
          <w:rFonts w:cs="Arial"/>
          <w:b/>
          <w:bCs/>
          <w:color w:val="000000" w:themeColor="text1"/>
          <w:szCs w:val="24"/>
          <w14:textFill>
            <w14:solidFill>
              <w14:schemeClr w14:val="tx1"/>
            </w14:solidFill>
          </w14:textFill>
        </w:rPr>
      </w:pPr>
      <w:bookmarkStart w:id="47" w:name="_Toc56498205"/>
      <w:r>
        <w:rPr>
          <w:rFonts w:cs="Arial"/>
          <w:b/>
          <w:bCs/>
          <w:color w:val="000000" w:themeColor="text1"/>
          <w:szCs w:val="24"/>
          <w14:textFill>
            <w14:solidFill>
              <w14:schemeClr w14:val="tx1"/>
            </w14:solidFill>
          </w14:textFill>
        </w:rPr>
        <w:t>Del representante legal</w:t>
      </w:r>
      <w:bookmarkEnd w:id="47"/>
    </w:p>
    <w:p w14:paraId="3489AF24">
      <w:pPr>
        <w:numPr>
          <w:ilvl w:val="0"/>
          <w:numId w:val="11"/>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Establecer y garantizar el cumplimiento de las políticas </w:t>
      </w:r>
      <w:r>
        <w:rPr>
          <w:rFonts w:cs="Arial"/>
          <w:bCs/>
          <w:color w:val="000000" w:themeColor="text1"/>
          <w:szCs w:val="24"/>
          <w14:textFill>
            <w14:solidFill>
              <w14:schemeClr w14:val="tx1"/>
            </w14:solidFill>
          </w14:textFill>
        </w:rPr>
        <w:t>de administración del riesgo de crédito</w:t>
      </w:r>
      <w:r>
        <w:rPr>
          <w:rFonts w:cs="Arial"/>
          <w:color w:val="000000" w:themeColor="text1"/>
          <w:szCs w:val="24"/>
          <w14:textFill>
            <w14:solidFill>
              <w14:schemeClr w14:val="tx1"/>
            </w14:solidFill>
          </w14:textFill>
        </w:rPr>
        <w:t xml:space="preserve"> definidas por el Consejo de Administración y proponer a dicho órgano los cambios en las políticas y demás elementos del SARC, para su respectiva aprobación.</w:t>
      </w:r>
    </w:p>
    <w:p w14:paraId="2110B7D8">
      <w:pPr>
        <w:numPr>
          <w:ilvl w:val="0"/>
          <w:numId w:val="11"/>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Presentar al Consejo de Administración para su aprobación, políticas para la administración del riesgo de crédito, las propuestas de metodologías y procedimientos que se utilizarán en el proceso de crédito y para la adecuada gestión del riesgo de crédito en el otorgamiento, seguimiento y recuperación de la cartera de créditos.</w:t>
      </w:r>
    </w:p>
    <w:p w14:paraId="1969A30D">
      <w:pPr>
        <w:numPr>
          <w:ilvl w:val="0"/>
          <w:numId w:val="11"/>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Realizar un seguimiento permanente al SARC, y al cumplimiento de las funciones del área responsable de la administración del riesgo de crédito y mantener informado al consejo de administración.</w:t>
      </w:r>
    </w:p>
    <w:p w14:paraId="04A0EB70">
      <w:pPr>
        <w:numPr>
          <w:ilvl w:val="0"/>
          <w:numId w:val="11"/>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Adoptar los correctivos que sean necesarios para mantener un adecuado SARC en la entidad.</w:t>
      </w:r>
    </w:p>
    <w:p w14:paraId="2C74E6A1">
      <w:pPr>
        <w:numPr>
          <w:ilvl w:val="0"/>
          <w:numId w:val="11"/>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Vigilar las relaciones entre los asociados y los empleados de las áreas comerciales, de las áreas encargadas del análisis de crédito, de la gestión del riesgo de crédito y de cobranza y/o seguimiento de la cartera, controlando de manera eficiente los conflictos de interés que pudieren presentarse.</w:t>
      </w:r>
    </w:p>
    <w:p w14:paraId="1BC07825">
      <w:pPr>
        <w:numPr>
          <w:ilvl w:val="0"/>
          <w:numId w:val="11"/>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Hacer seguimiento y pronunciarse respecto de los informes que sobre la gestión del riesgo de crédito presente el revisor fiscal y control interno.</w:t>
      </w:r>
    </w:p>
    <w:p w14:paraId="41CDEC1F">
      <w:pPr>
        <w:numPr>
          <w:ilvl w:val="0"/>
          <w:numId w:val="11"/>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lang w:eastAsia="ar-SA"/>
          <w14:textFill>
            <w14:solidFill>
              <w14:schemeClr w14:val="tx1"/>
            </w14:solidFill>
          </w14:textFill>
        </w:rPr>
        <w:t>Designar un funcionario que se encargue del permanente control y seguimiento de los aplicativos en la entidad</w:t>
      </w:r>
    </w:p>
    <w:p w14:paraId="13E84272">
      <w:pPr>
        <w:ind w:left="142" w:right="49"/>
        <w:jc w:val="both"/>
        <w:rPr>
          <w:rFonts w:cs="Arial"/>
          <w:color w:val="000000" w:themeColor="text1"/>
          <w:szCs w:val="24"/>
          <w14:textFill>
            <w14:solidFill>
              <w14:schemeClr w14:val="tx1"/>
            </w14:solidFill>
          </w14:textFill>
        </w:rPr>
      </w:pPr>
    </w:p>
    <w:p w14:paraId="5049D971">
      <w:pPr>
        <w:ind w:left="142" w:right="49"/>
        <w:jc w:val="both"/>
        <w:rPr>
          <w:rFonts w:cs="Arial"/>
          <w:b/>
          <w:bCs/>
          <w:color w:val="000000" w:themeColor="text1"/>
          <w:szCs w:val="24"/>
          <w14:textFill>
            <w14:solidFill>
              <w14:schemeClr w14:val="tx1"/>
            </w14:solidFill>
          </w14:textFill>
        </w:rPr>
      </w:pPr>
      <w:r>
        <w:rPr>
          <w:rFonts w:cs="Arial"/>
          <w:b/>
          <w:bCs/>
          <w:color w:val="000000" w:themeColor="text1"/>
          <w:szCs w:val="24"/>
          <w14:textFill>
            <w14:solidFill>
              <w14:schemeClr w14:val="tx1"/>
            </w14:solidFill>
          </w14:textFill>
        </w:rPr>
        <w:t>Área de Riesgos</w:t>
      </w:r>
    </w:p>
    <w:p w14:paraId="3C27AF93">
      <w:pPr>
        <w:numPr>
          <w:ilvl w:val="0"/>
          <w:numId w:val="12"/>
        </w:numPr>
        <w:spacing w:after="0" w:line="240" w:lineRule="auto"/>
        <w:ind w:left="567" w:right="49" w:hanging="425"/>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Proponer, al consejo de Administración o al Comité de Riesgos, las políticas, límites de riesgo, metodologías y procedimientos del SARC acorde con el apetito al riesgo de la organización solidaria.</w:t>
      </w:r>
    </w:p>
    <w:p w14:paraId="598766FA">
      <w:pPr>
        <w:numPr>
          <w:ilvl w:val="0"/>
          <w:numId w:val="12"/>
        </w:numPr>
        <w:spacing w:after="0" w:line="240" w:lineRule="auto"/>
        <w:ind w:left="567" w:right="49" w:hanging="425"/>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Atender las recomendaciones del consejo de administración y del representante legal.</w:t>
      </w:r>
    </w:p>
    <w:p w14:paraId="3A867716">
      <w:pPr>
        <w:numPr>
          <w:ilvl w:val="0"/>
          <w:numId w:val="12"/>
        </w:numPr>
        <w:spacing w:after="0" w:line="240" w:lineRule="auto"/>
        <w:ind w:left="567" w:right="49" w:hanging="425"/>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Velar por que las áreas que participen en el proceso de crédito cumplan estrictamente las políticas, cupos y límites de crédito establecidas por la entidad y por las normas legales vigentes.</w:t>
      </w:r>
    </w:p>
    <w:p w14:paraId="539360E8">
      <w:pPr>
        <w:numPr>
          <w:ilvl w:val="0"/>
          <w:numId w:val="12"/>
        </w:numPr>
        <w:spacing w:after="0" w:line="240" w:lineRule="auto"/>
        <w:ind w:left="567" w:right="49" w:hanging="425"/>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Proponer, diseñar y desarrollar la implementación de las metodologías y/o procedimientos utilizados en el otorgamiento, seguimiento y recuperación de la cartera.</w:t>
      </w:r>
    </w:p>
    <w:p w14:paraId="57F97CEC">
      <w:pPr>
        <w:ind w:left="567" w:right="49" w:hanging="425"/>
        <w:jc w:val="both"/>
        <w:rPr>
          <w:rFonts w:cs="Arial"/>
          <w:color w:val="000000" w:themeColor="text1"/>
          <w:szCs w:val="24"/>
          <w14:textFill>
            <w14:solidFill>
              <w14:schemeClr w14:val="tx1"/>
            </w14:solidFill>
          </w14:textFill>
        </w:rPr>
      </w:pPr>
    </w:p>
    <w:p w14:paraId="193A3F01">
      <w:pPr>
        <w:numPr>
          <w:ilvl w:val="0"/>
          <w:numId w:val="12"/>
        </w:numPr>
        <w:spacing w:after="0" w:line="240" w:lineRule="auto"/>
        <w:ind w:left="567" w:right="49" w:hanging="425"/>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Verificar el cálculo de los deterioros de cartera y velar porque se lleve a cabo su adecuado registro contable.</w:t>
      </w:r>
    </w:p>
    <w:p w14:paraId="6A8FD7F6">
      <w:pPr>
        <w:numPr>
          <w:ilvl w:val="0"/>
          <w:numId w:val="12"/>
        </w:numPr>
        <w:spacing w:after="0" w:line="240" w:lineRule="auto"/>
        <w:ind w:left="567" w:right="49" w:hanging="425"/>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Preparar los informes y propuestas de mejora a los componentes del SARC, al comité de riesgos, para la posterior presentación y aprobación del consejo de administración.</w:t>
      </w:r>
    </w:p>
    <w:p w14:paraId="2B5CE6F7">
      <w:pPr>
        <w:numPr>
          <w:ilvl w:val="0"/>
          <w:numId w:val="12"/>
        </w:numPr>
        <w:spacing w:after="0" w:line="240" w:lineRule="auto"/>
        <w:ind w:left="567" w:right="49" w:hanging="425"/>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Presentar mensualmente al representante legal </w:t>
      </w:r>
      <w:r>
        <w:rPr>
          <w:rFonts w:cs="Arial"/>
          <w:bCs/>
          <w:color w:val="000000" w:themeColor="text1"/>
          <w:szCs w:val="24"/>
          <w14:textFill>
            <w14:solidFill>
              <w14:schemeClr w14:val="tx1"/>
            </w14:solidFill>
          </w14:textFill>
        </w:rPr>
        <w:t xml:space="preserve">y al Comité de riesgos, </w:t>
      </w:r>
      <w:r>
        <w:rPr>
          <w:rFonts w:cs="Arial"/>
          <w:color w:val="000000" w:themeColor="text1"/>
          <w:szCs w:val="24"/>
          <w14:textFill>
            <w14:solidFill>
              <w14:schemeClr w14:val="tx1"/>
            </w14:solidFill>
          </w14:textFill>
        </w:rPr>
        <w:t>el informe de exposición al riesgo del SARC.</w:t>
      </w:r>
    </w:p>
    <w:p w14:paraId="2615491B">
      <w:pPr>
        <w:ind w:left="142" w:right="49"/>
        <w:jc w:val="both"/>
        <w:rPr>
          <w:rFonts w:cs="Arial"/>
          <w:color w:val="000000" w:themeColor="text1"/>
          <w:szCs w:val="24"/>
          <w14:textFill>
            <w14:solidFill>
              <w14:schemeClr w14:val="tx1"/>
            </w14:solidFill>
          </w14:textFill>
        </w:rPr>
      </w:pPr>
    </w:p>
    <w:p w14:paraId="19A24D34">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Las funciones específicas de este cargo se encuentran en el Manual de Funciones. </w:t>
      </w:r>
    </w:p>
    <w:p w14:paraId="027886CE">
      <w:pPr>
        <w:ind w:left="142" w:right="49"/>
        <w:jc w:val="both"/>
        <w:rPr>
          <w:rFonts w:cs="Arial"/>
          <w:b/>
          <w:bCs/>
          <w:color w:val="000000" w:themeColor="text1"/>
          <w:szCs w:val="24"/>
          <w14:textFill>
            <w14:solidFill>
              <w14:schemeClr w14:val="tx1"/>
            </w14:solidFill>
          </w14:textFill>
        </w:rPr>
      </w:pPr>
      <w:r>
        <w:rPr>
          <w:rFonts w:cs="Arial"/>
          <w:b/>
          <w:bCs/>
          <w:color w:val="000000" w:themeColor="text1"/>
          <w:szCs w:val="24"/>
          <w14:textFill>
            <w14:solidFill>
              <w14:schemeClr w14:val="tx1"/>
            </w14:solidFill>
          </w14:textFill>
        </w:rPr>
        <w:t>Área de Cartera</w:t>
      </w:r>
    </w:p>
    <w:p w14:paraId="64D8482D">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En cuanto al SARC es el área responsable de realizar la gestión de cobranza, realizar informe de cartera y realizar el cierre de cartera.</w:t>
      </w:r>
    </w:p>
    <w:p w14:paraId="5855E128">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Las funciones específicas de los cargos de esta área se encuentran en el Manual de Funciones. </w:t>
      </w:r>
    </w:p>
    <w:p w14:paraId="71ABA135">
      <w:pPr>
        <w:ind w:left="142" w:right="49"/>
        <w:jc w:val="both"/>
        <w:rPr>
          <w:rFonts w:cs="Arial"/>
          <w:b/>
          <w:bCs/>
          <w:color w:val="000000" w:themeColor="text1"/>
          <w:szCs w:val="24"/>
          <w14:textFill>
            <w14:solidFill>
              <w14:schemeClr w14:val="tx1"/>
            </w14:solidFill>
          </w14:textFill>
        </w:rPr>
      </w:pPr>
      <w:r>
        <w:rPr>
          <w:rFonts w:cs="Arial"/>
          <w:b/>
          <w:bCs/>
          <w:color w:val="000000" w:themeColor="text1"/>
          <w:szCs w:val="24"/>
          <w14:textFill>
            <w14:solidFill>
              <w14:schemeClr w14:val="tx1"/>
            </w14:solidFill>
          </w14:textFill>
        </w:rPr>
        <w:t>Área de Crédito</w:t>
      </w:r>
    </w:p>
    <w:p w14:paraId="60545AC0">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Es área encargada del análisis y el concepto de las solicitudes de créditos.</w:t>
      </w:r>
    </w:p>
    <w:p w14:paraId="1F2A5231">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Las funciones específicas de los cargos de esta área se encuentran en el Manual de Funciones. </w:t>
      </w:r>
    </w:p>
    <w:p w14:paraId="359FDE7E">
      <w:pPr>
        <w:ind w:left="142" w:right="49"/>
        <w:jc w:val="both"/>
        <w:rPr>
          <w:rFonts w:cs="Arial"/>
          <w:b/>
          <w:bCs/>
          <w:color w:val="000000" w:themeColor="text1"/>
          <w:szCs w:val="24"/>
          <w14:textFill>
            <w14:solidFill>
              <w14:schemeClr w14:val="tx1"/>
            </w14:solidFill>
          </w14:textFill>
        </w:rPr>
      </w:pPr>
      <w:r>
        <w:rPr>
          <w:rFonts w:cs="Arial"/>
          <w:b/>
          <w:bCs/>
          <w:color w:val="000000" w:themeColor="text1"/>
          <w:szCs w:val="24"/>
          <w14:textFill>
            <w14:solidFill>
              <w14:schemeClr w14:val="tx1"/>
            </w14:solidFill>
          </w14:textFill>
        </w:rPr>
        <w:t>Área de Contabilidad</w:t>
      </w:r>
    </w:p>
    <w:p w14:paraId="5127668F">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Es el responsable por la adecuada revelación contable de los rubros de cartera.</w:t>
      </w:r>
    </w:p>
    <w:p w14:paraId="6F964D2B">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Las funciones específicas de los cargos de esta área se encuentran en el Manual de Funciones. </w:t>
      </w:r>
    </w:p>
    <w:p w14:paraId="741B66ED">
      <w:pPr>
        <w:ind w:left="142" w:right="49"/>
        <w:jc w:val="both"/>
        <w:rPr>
          <w:rFonts w:cs="Arial"/>
          <w:b/>
          <w:bCs/>
          <w:color w:val="000000" w:themeColor="text1"/>
          <w:szCs w:val="24"/>
          <w14:textFill>
            <w14:solidFill>
              <w14:schemeClr w14:val="tx1"/>
            </w14:solidFill>
          </w14:textFill>
        </w:rPr>
      </w:pPr>
      <w:r>
        <w:rPr>
          <w:rFonts w:cs="Arial"/>
          <w:b/>
          <w:bCs/>
          <w:color w:val="000000" w:themeColor="text1"/>
          <w:szCs w:val="24"/>
          <w14:textFill>
            <w14:solidFill>
              <w14:schemeClr w14:val="tx1"/>
            </w14:solidFill>
          </w14:textFill>
        </w:rPr>
        <w:t>Asesor Comercial</w:t>
      </w:r>
    </w:p>
    <w:p w14:paraId="5A48791F">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Son los responsables del contacto con el asociado y la información requerida para iniciar el trámite de las solicitudes de crédito.</w:t>
      </w:r>
    </w:p>
    <w:p w14:paraId="177864DE">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Las funciones específicas de este cargo se encuentran en el Manual de Funciones. </w:t>
      </w:r>
    </w:p>
    <w:p w14:paraId="190BC62E">
      <w:pPr>
        <w:pStyle w:val="3"/>
      </w:pPr>
      <w:bookmarkStart w:id="48" w:name="_Toc56498216"/>
      <w:bookmarkStart w:id="49" w:name="_Toc151443581"/>
      <w:bookmarkStart w:id="50" w:name="_Toc182642804"/>
      <w:bookmarkStart w:id="51" w:name="_Toc58420282"/>
      <w:r>
        <w:t>Órganos De Control</w:t>
      </w:r>
      <w:bookmarkEnd w:id="48"/>
      <w:bookmarkEnd w:id="49"/>
      <w:bookmarkEnd w:id="50"/>
      <w:bookmarkEnd w:id="51"/>
    </w:p>
    <w:p w14:paraId="73BE9BEA">
      <w:pPr>
        <w:tabs>
          <w:tab w:val="left" w:pos="1128"/>
        </w:tabs>
        <w:suppressAutoHyphens/>
        <w:ind w:left="142" w:right="49"/>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Entre las funciones de los órganos de control están:</w:t>
      </w:r>
    </w:p>
    <w:p w14:paraId="72704B9A">
      <w:pPr>
        <w:ind w:left="142" w:right="49"/>
        <w:jc w:val="both"/>
        <w:rPr>
          <w:rFonts w:cs="Arial"/>
          <w:b/>
          <w:bCs/>
          <w:color w:val="000000" w:themeColor="text1"/>
          <w:szCs w:val="24"/>
          <w14:textFill>
            <w14:solidFill>
              <w14:schemeClr w14:val="tx1"/>
            </w14:solidFill>
          </w14:textFill>
        </w:rPr>
      </w:pPr>
      <w:r>
        <w:rPr>
          <w:rFonts w:cs="Arial"/>
          <w:b/>
          <w:bCs/>
          <w:color w:val="000000" w:themeColor="text1"/>
          <w:szCs w:val="24"/>
          <w14:textFill>
            <w14:solidFill>
              <w14:schemeClr w14:val="tx1"/>
            </w14:solidFill>
          </w14:textFill>
        </w:rPr>
        <w:t>Control Interno</w:t>
      </w:r>
    </w:p>
    <w:p w14:paraId="59114CDA">
      <w:pPr>
        <w:suppressAutoHyphens/>
        <w:ind w:left="142" w:right="49"/>
        <w:contextualSpacing/>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En lo que respecta al SARC, tiene dos funciones principales:</w:t>
      </w:r>
    </w:p>
    <w:p w14:paraId="07BE356B">
      <w:pPr>
        <w:suppressAutoHyphens/>
        <w:ind w:left="142" w:right="49"/>
        <w:contextualSpacing/>
        <w:jc w:val="both"/>
        <w:rPr>
          <w:rFonts w:cs="Arial"/>
          <w:color w:val="000000" w:themeColor="text1"/>
          <w:szCs w:val="24"/>
          <w:lang w:eastAsia="ar-SA"/>
          <w14:textFill>
            <w14:solidFill>
              <w14:schemeClr w14:val="tx1"/>
            </w14:solidFill>
          </w14:textFill>
        </w:rPr>
      </w:pPr>
    </w:p>
    <w:p w14:paraId="271404C4">
      <w:pPr>
        <w:numPr>
          <w:ilvl w:val="0"/>
          <w:numId w:val="13"/>
        </w:numPr>
        <w:suppressAutoHyphens/>
        <w:spacing w:after="0" w:line="240" w:lineRule="auto"/>
        <w:ind w:left="142" w:right="49" w:firstLine="0"/>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El control del cumplimiento de las políticas internas y de las normas legales en materia de riesgo de crédito para lo cual deberá:</w:t>
      </w:r>
    </w:p>
    <w:p w14:paraId="4607A433">
      <w:pPr>
        <w:suppressAutoHyphens/>
        <w:ind w:left="142" w:right="49"/>
        <w:contextualSpacing/>
        <w:jc w:val="both"/>
        <w:rPr>
          <w:rFonts w:cs="Arial"/>
          <w:color w:val="000000" w:themeColor="text1"/>
          <w:szCs w:val="24"/>
          <w:lang w:eastAsia="ar-SA"/>
          <w14:textFill>
            <w14:solidFill>
              <w14:schemeClr w14:val="tx1"/>
            </w14:solidFill>
          </w14:textFill>
        </w:rPr>
      </w:pPr>
    </w:p>
    <w:p w14:paraId="2E331FEE">
      <w:pPr>
        <w:numPr>
          <w:ilvl w:val="0"/>
          <w:numId w:val="14"/>
        </w:numPr>
        <w:suppressAutoHyphens/>
        <w:spacing w:after="0" w:line="240" w:lineRule="auto"/>
        <w:ind w:left="709" w:right="49" w:hanging="142"/>
        <w:contextualSpacing/>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Evaluar y calificar el cumplimiento de las políticas establecidas por el Consejo de Administración.</w:t>
      </w:r>
    </w:p>
    <w:p w14:paraId="7A5CBA69">
      <w:pPr>
        <w:numPr>
          <w:ilvl w:val="0"/>
          <w:numId w:val="14"/>
        </w:numPr>
        <w:suppressAutoHyphens/>
        <w:spacing w:after="0" w:line="240" w:lineRule="auto"/>
        <w:ind w:left="709" w:right="49" w:hanging="142"/>
        <w:contextualSpacing/>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Elaborar los informes de los resultados de la evaluación realizada y presentarlos al Representante Legal y Consejo de Administración.</w:t>
      </w:r>
    </w:p>
    <w:p w14:paraId="52683CE3">
      <w:pPr>
        <w:numPr>
          <w:ilvl w:val="0"/>
          <w:numId w:val="14"/>
        </w:numPr>
        <w:suppressAutoHyphens/>
        <w:spacing w:after="0" w:line="240" w:lineRule="auto"/>
        <w:ind w:left="709" w:right="49" w:hanging="142"/>
        <w:contextualSpacing/>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Validar el cumplimiento de las normas legales relacionadas con el SARC.</w:t>
      </w:r>
    </w:p>
    <w:p w14:paraId="03F4BC4A">
      <w:pPr>
        <w:suppressAutoHyphens/>
        <w:ind w:left="142" w:right="49"/>
        <w:jc w:val="both"/>
        <w:rPr>
          <w:rFonts w:cs="Arial"/>
          <w:color w:val="000000" w:themeColor="text1"/>
          <w:szCs w:val="24"/>
          <w:lang w:eastAsia="ar-SA"/>
          <w14:textFill>
            <w14:solidFill>
              <w14:schemeClr w14:val="tx1"/>
            </w14:solidFill>
          </w14:textFill>
        </w:rPr>
      </w:pPr>
    </w:p>
    <w:p w14:paraId="5EE824F8">
      <w:pPr>
        <w:numPr>
          <w:ilvl w:val="0"/>
          <w:numId w:val="13"/>
        </w:numPr>
        <w:suppressAutoHyphens/>
        <w:spacing w:after="0" w:line="240" w:lineRule="auto"/>
        <w:ind w:left="142" w:right="49" w:firstLine="0"/>
        <w:contextualSpacing/>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La auditoría a las bases de datos, sistemas, herramientas, metodologías y/o técnicas que utiliza el SARC, en este caso deberá:</w:t>
      </w:r>
    </w:p>
    <w:p w14:paraId="0ADF1FE1">
      <w:pPr>
        <w:suppressAutoHyphens/>
        <w:ind w:left="142" w:right="49"/>
        <w:contextualSpacing/>
        <w:jc w:val="both"/>
        <w:rPr>
          <w:rFonts w:cs="Arial"/>
          <w:color w:val="000000" w:themeColor="text1"/>
          <w:szCs w:val="24"/>
          <w:lang w:eastAsia="ar-SA"/>
          <w14:textFill>
            <w14:solidFill>
              <w14:schemeClr w14:val="tx1"/>
            </w14:solidFill>
          </w14:textFill>
        </w:rPr>
      </w:pPr>
    </w:p>
    <w:p w14:paraId="2CD6AFCA">
      <w:pPr>
        <w:numPr>
          <w:ilvl w:val="0"/>
          <w:numId w:val="15"/>
        </w:numPr>
        <w:suppressAutoHyphens/>
        <w:spacing w:after="0" w:line="240" w:lineRule="auto"/>
        <w:ind w:left="709" w:right="49" w:hanging="141"/>
        <w:contextualSpacing/>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Planear las revisiones a las áreas relacionadas con el SARC y definir los procedimientos de visita e inspección, determinando el alcance de la auditoría.</w:t>
      </w:r>
    </w:p>
    <w:p w14:paraId="4322A2F0">
      <w:pPr>
        <w:numPr>
          <w:ilvl w:val="0"/>
          <w:numId w:val="15"/>
        </w:numPr>
        <w:suppressAutoHyphens/>
        <w:spacing w:after="0" w:line="240" w:lineRule="auto"/>
        <w:ind w:left="709" w:right="49" w:hanging="141"/>
        <w:contextualSpacing/>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Identificar y evaluar la calidad de los procesos y de los controles existentes.</w:t>
      </w:r>
    </w:p>
    <w:p w14:paraId="22D1A0C3">
      <w:pPr>
        <w:numPr>
          <w:ilvl w:val="0"/>
          <w:numId w:val="15"/>
        </w:numPr>
        <w:suppressAutoHyphens/>
        <w:spacing w:after="0" w:line="240" w:lineRule="auto"/>
        <w:ind w:left="709" w:right="49" w:hanging="141"/>
        <w:contextualSpacing/>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Elaborar el informe de resultados de la visita y presentar su propuesta de recomendaciones al Representante Legal y al Consejo de Administración.</w:t>
      </w:r>
    </w:p>
    <w:p w14:paraId="5F112EEE">
      <w:pPr>
        <w:suppressAutoHyphens/>
        <w:spacing w:after="0" w:line="240" w:lineRule="auto"/>
        <w:ind w:left="709" w:right="49"/>
        <w:contextualSpacing/>
        <w:jc w:val="both"/>
        <w:rPr>
          <w:rFonts w:cs="Arial"/>
          <w:color w:val="000000" w:themeColor="text1"/>
          <w:szCs w:val="24"/>
          <w:lang w:eastAsia="ar-SA"/>
          <w14:textFill>
            <w14:solidFill>
              <w14:schemeClr w14:val="tx1"/>
            </w14:solidFill>
          </w14:textFill>
        </w:rPr>
      </w:pPr>
    </w:p>
    <w:p w14:paraId="3142555A">
      <w:pPr>
        <w:suppressAutoHyphens/>
        <w:ind w:left="142" w:right="49"/>
        <w:contextualSpacing/>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Las recomendaciones del responsable del control interno o de la auditoría interna deberán concretarse en planes de acción, cuando haya lugar, los cuales, a su vez, deberán ser de obligatorio cumplimiento por parte de las áreas auditadas.</w:t>
      </w:r>
      <w:bookmarkStart w:id="52" w:name="_Toc56498218"/>
    </w:p>
    <w:p w14:paraId="58D11EF5">
      <w:pPr>
        <w:suppressAutoHyphens/>
        <w:ind w:left="142" w:right="49"/>
        <w:contextualSpacing/>
        <w:jc w:val="both"/>
        <w:rPr>
          <w:rFonts w:cs="Arial"/>
          <w:color w:val="000000" w:themeColor="text1"/>
          <w:szCs w:val="24"/>
          <w:lang w:eastAsia="ar-SA"/>
          <w14:textFill>
            <w14:solidFill>
              <w14:schemeClr w14:val="tx1"/>
            </w14:solidFill>
          </w14:textFill>
        </w:rPr>
      </w:pPr>
    </w:p>
    <w:p w14:paraId="699D7EDC">
      <w:pPr>
        <w:ind w:left="142" w:right="49"/>
        <w:jc w:val="both"/>
        <w:rPr>
          <w:rFonts w:cs="Arial"/>
          <w:b/>
          <w:bCs/>
          <w:color w:val="000000" w:themeColor="text1"/>
          <w:szCs w:val="24"/>
          <w14:textFill>
            <w14:solidFill>
              <w14:schemeClr w14:val="tx1"/>
            </w14:solidFill>
          </w14:textFill>
        </w:rPr>
      </w:pPr>
      <w:r>
        <w:rPr>
          <w:rFonts w:cs="Arial"/>
          <w:b/>
          <w:bCs/>
          <w:color w:val="000000" w:themeColor="text1"/>
          <w:szCs w:val="24"/>
          <w14:textFill>
            <w14:solidFill>
              <w14:schemeClr w14:val="tx1"/>
            </w14:solidFill>
          </w14:textFill>
        </w:rPr>
        <w:t>Revisor fiscal</w:t>
      </w:r>
      <w:bookmarkEnd w:id="52"/>
    </w:p>
    <w:p w14:paraId="5A18A04D">
      <w:pPr>
        <w:suppressAutoHyphens/>
        <w:ind w:left="142" w:right="49"/>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En cumplimiento de la función consagrada en el numeral 2 del artículo 207 del Código de Comercio, corresponde al revisor fiscal presentar oportunamente los informes a la administración o a la asamblea de la entidad acerca de las desviaciones en el cumplimiento de los instructivos externos e internos, de las deficiencias en los controles internos sobre esta materia, así como de las irregularidades encontradas, que surjan como resultado del examen del SARC. Estos aspectos deberán quedar suficientemente documentados en los papeles de trabajo y en los informes presentados.</w:t>
      </w:r>
    </w:p>
    <w:p w14:paraId="7DCA96C4">
      <w:pPr>
        <w:suppressAutoHyphens/>
        <w:ind w:left="142" w:right="49"/>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Adicionalmente, en el informe que presente a la asamblea general de asociados o delegados, el revisor fiscal deberá dar su opinión sobre la efectividad del SARC, subsanadas o no por la administración de la entidad, a la fecha de corte del ejercicio respecto del cual el revisor fiscal presenta el informe de cumplimiento y de control interno al que hace referencia el artículo 209 del Código de Comercio.</w:t>
      </w:r>
    </w:p>
    <w:p w14:paraId="6006D383">
      <w:pPr>
        <w:suppressAutoHyphens/>
        <w:autoSpaceDE w:val="0"/>
        <w:autoSpaceDN w:val="0"/>
        <w:adjustRightInd w:val="0"/>
        <w:ind w:left="142" w:right="49"/>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La revisoría fiscal informará la Superintendencia, en desarrollo de su deber de colaboración establecido en el numeral 3 del artículo 207 del Código de Comercio, sobre los aspectos significativos evidenciados en sus auditorías al SARC, indicando el grado de incidencia en que estaría afectándose el cumplimiento de las instrucciones impartidas por la Superintendencia sobre esta materia.</w:t>
      </w:r>
    </w:p>
    <w:p w14:paraId="00ED419A">
      <w:pPr>
        <w:pStyle w:val="3"/>
      </w:pPr>
      <w:r>
        <w:t xml:space="preserve"> </w:t>
      </w:r>
      <w:bookmarkStart w:id="53" w:name="_Toc151443582"/>
      <w:bookmarkStart w:id="54" w:name="_Toc182642805"/>
      <w:r>
        <w:t>Comité De Riesgos</w:t>
      </w:r>
      <w:bookmarkEnd w:id="53"/>
      <w:bookmarkEnd w:id="54"/>
    </w:p>
    <w:p w14:paraId="28FA71D6">
      <w:pPr>
        <w:ind w:left="142" w:right="49"/>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La función principal del Comité de Riesgos es servir de apoyo al Consejo de Administración en el establecimiento de las políticas de gestión de los diferentes Sistemas de Administración de Riesgos, a través de la evaluación, recomendación y presentación de las propuesta de límites, metodologías y mecanismos de medición, cobertura y mitigación de riesgos, igualmente deberá realizar el análisis, evaluación y  presentación ante esta instancia de los reportes periódicos sobre la situación particular de cada uno de los Sistemas de Administración de Riesgos, de acuerdo a lo informado por el área responsable de los riesgos.</w:t>
      </w:r>
    </w:p>
    <w:p w14:paraId="2AEDDDC2">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Frente al SARC es además responsable de analizar y recomendar o no al Consejo de Administración la aprobación del proceso de evaluación y calificación de cartera.</w:t>
      </w:r>
    </w:p>
    <w:p w14:paraId="0261379B">
      <w:pPr>
        <w:ind w:left="142" w:right="49"/>
        <w:jc w:val="both"/>
        <w:rPr>
          <w:rFonts w:cs="Arial" w:eastAsiaTheme="majorEastAsia"/>
          <w:bCs/>
          <w:color w:val="000000" w:themeColor="text1"/>
          <w:szCs w:val="24"/>
          <w14:textFill>
            <w14:solidFill>
              <w14:schemeClr w14:val="tx1"/>
            </w14:solidFill>
          </w14:textFill>
        </w:rPr>
      </w:pPr>
      <w:r>
        <w:rPr>
          <w:rFonts w:cs="Arial" w:eastAsiaTheme="majorEastAsia"/>
          <w:bCs/>
          <w:color w:val="000000" w:themeColor="text1"/>
          <w:szCs w:val="24"/>
          <w14:textFill>
            <w14:solidFill>
              <w14:schemeClr w14:val="tx1"/>
            </w14:solidFill>
          </w14:textFill>
        </w:rPr>
        <w:t>Las funciones y demás aspectos inherentes al Comité de Riesgos se encuentran definidos en el respectivo reglamento.</w:t>
      </w:r>
    </w:p>
    <w:p w14:paraId="669EE227">
      <w:pPr>
        <w:pStyle w:val="3"/>
      </w:pPr>
      <w:bookmarkStart w:id="55" w:name="_Toc151443583"/>
      <w:bookmarkStart w:id="56" w:name="_Toc182642806"/>
      <w:r>
        <w:t>Comité De Crédito</w:t>
      </w:r>
      <w:bookmarkEnd w:id="55"/>
      <w:bookmarkEnd w:id="56"/>
    </w:p>
    <w:p w14:paraId="36153355">
      <w:pPr>
        <w:ind w:left="142" w:right="49"/>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La función principal del comité de crédito es la de apoyar al Consejo de Administración y a la Gerencia de Coopcallejona en las actividades relacionadas con el estudio, análisis, verificación y aprobación de los créditos otorgados a los asociados en coordinación con la persona encargada del área de crédito.</w:t>
      </w:r>
    </w:p>
    <w:p w14:paraId="665F1E04">
      <w:pPr>
        <w:ind w:left="142" w:right="49"/>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Las funciones y demás aspectos inherentes al Comité de Crédito se encuentran definidos en el respectivo reglamento.</w:t>
      </w:r>
    </w:p>
    <w:p w14:paraId="2815C4AF">
      <w:pPr>
        <w:rPr>
          <w:rFonts w:cs="Arial"/>
          <w:szCs w:val="24"/>
          <w:lang w:val="es-ES"/>
        </w:rPr>
      </w:pPr>
    </w:p>
    <w:p w14:paraId="6A935F52">
      <w:pPr>
        <w:rPr>
          <w:rFonts w:cs="Arial"/>
          <w:szCs w:val="24"/>
          <w:lang w:val="es-ES"/>
        </w:rPr>
      </w:pPr>
    </w:p>
    <w:p w14:paraId="33EE5706">
      <w:pPr>
        <w:rPr>
          <w:rFonts w:cs="Arial"/>
          <w:szCs w:val="24"/>
          <w:lang w:val="es-ES"/>
        </w:rPr>
      </w:pPr>
    </w:p>
    <w:p w14:paraId="45E216B6">
      <w:pPr>
        <w:rPr>
          <w:rFonts w:cs="Arial"/>
          <w:szCs w:val="24"/>
          <w:lang w:val="es-ES"/>
        </w:rPr>
      </w:pPr>
    </w:p>
    <w:p w14:paraId="0346A7FC">
      <w:pPr>
        <w:pStyle w:val="2"/>
      </w:pPr>
      <w:bookmarkStart w:id="57" w:name="_Toc182642807"/>
      <w:bookmarkStart w:id="58" w:name="_Toc151443585"/>
      <w:r>
        <w:t>POLÍTICAS GENERALES</w:t>
      </w:r>
      <w:bookmarkEnd w:id="57"/>
      <w:bookmarkEnd w:id="58"/>
    </w:p>
    <w:p w14:paraId="502AC06D">
      <w:pPr>
        <w:jc w:val="both"/>
        <w:rPr>
          <w:rFonts w:cs="Arial"/>
          <w:szCs w:val="24"/>
          <w:lang w:val="es-ES"/>
        </w:rPr>
      </w:pPr>
      <w:r>
        <w:rPr>
          <w:rFonts w:cs="Arial"/>
          <w:szCs w:val="24"/>
          <w:lang w:val="es-ES"/>
        </w:rPr>
        <w:t>El Órgano de Administración de la Cooperativa será el encargado de fijar y aprobar las políticas, metodologías y procedimientos sobre el riesgo de crédito y establecerá los mecanismos y controles necesarios que aseguren su estricto cumplimiento.</w:t>
      </w:r>
    </w:p>
    <w:p w14:paraId="0B97E6A3">
      <w:pPr>
        <w:jc w:val="both"/>
        <w:rPr>
          <w:rFonts w:cs="Arial"/>
          <w:szCs w:val="24"/>
          <w:lang w:val="es-ES"/>
        </w:rPr>
      </w:pPr>
      <w:r>
        <w:rPr>
          <w:rFonts w:cs="Arial"/>
          <w:szCs w:val="24"/>
          <w:lang w:val="es-ES"/>
        </w:rPr>
        <w:t>Quedará en las actas consignadas las decisiones que sobre esta materia se tomen por parte del Consejo de Administración de la Cooperativa.</w:t>
      </w:r>
    </w:p>
    <w:p w14:paraId="194976D4">
      <w:pPr>
        <w:jc w:val="both"/>
        <w:rPr>
          <w:rFonts w:cs="Arial"/>
          <w:szCs w:val="24"/>
          <w:lang w:val="es-ES"/>
        </w:rPr>
      </w:pPr>
      <w:r>
        <w:rPr>
          <w:rFonts w:cs="Arial"/>
          <w:szCs w:val="24"/>
          <w:lang w:val="es-ES"/>
        </w:rPr>
        <w:t>Conforme al nivel de atribuciones que registre el personal de la Cooperativa, deberán ser conocidas la responsabilidades y funciones dentro del proceso que origina y administra la cartera, por tanto, se velará por su adecuada divulgación y comunicación.</w:t>
      </w:r>
    </w:p>
    <w:p w14:paraId="390A8198">
      <w:pPr>
        <w:jc w:val="both"/>
        <w:rPr>
          <w:rFonts w:cs="Arial"/>
          <w:szCs w:val="24"/>
          <w:lang w:val="es-ES"/>
        </w:rPr>
      </w:pPr>
      <w:r>
        <w:rPr>
          <w:rFonts w:cs="Arial"/>
          <w:szCs w:val="24"/>
          <w:lang w:val="es-ES"/>
        </w:rPr>
        <w:t>Se deberá hacer estricto seguimiento y control sobre el cumplimiento de las políticas por parte de todas las áreas de la Cooperativa involucradas.</w:t>
      </w:r>
    </w:p>
    <w:p w14:paraId="47B198FB">
      <w:pPr>
        <w:jc w:val="both"/>
        <w:rPr>
          <w:rFonts w:cs="Arial"/>
          <w:szCs w:val="24"/>
          <w:lang w:val="es-ES"/>
        </w:rPr>
      </w:pPr>
      <w:r>
        <w:rPr>
          <w:rFonts w:cs="Arial"/>
          <w:szCs w:val="24"/>
          <w:lang w:val="es-ES"/>
        </w:rPr>
        <w:t>Se debe reportar en la frecuencia establecida por el Consejo de Administración la información que estime sea necesaria para su proceso de toma de decisiones como dar cumplimiento con los reportes exigidos por los órganos de control internos y externos.</w:t>
      </w:r>
    </w:p>
    <w:p w14:paraId="09BF626D">
      <w:pPr>
        <w:jc w:val="both"/>
        <w:rPr>
          <w:rFonts w:cs="Arial"/>
          <w:szCs w:val="24"/>
          <w:lang w:val="es-ES"/>
        </w:rPr>
      </w:pPr>
      <w:r>
        <w:rPr>
          <w:rFonts w:cs="Arial"/>
          <w:szCs w:val="24"/>
          <w:lang w:val="es-ES"/>
        </w:rPr>
        <w:t>Los procesos y procedimientos deben ser eficientes y estar documentados conforme a la aplicación de las mejores prácticas para mitigar el riesgo de crédito. Estos deben ser revisados periódicamente de manera que se mantengan bien definidas las responsabilidades asignadas a cada cargo.</w:t>
      </w:r>
    </w:p>
    <w:p w14:paraId="575021E3">
      <w:pPr>
        <w:jc w:val="both"/>
        <w:rPr>
          <w:rFonts w:cs="Arial"/>
          <w:szCs w:val="24"/>
          <w:lang w:val="es-ES"/>
        </w:rPr>
      </w:pPr>
      <w:r>
        <w:rPr>
          <w:rFonts w:cs="Arial"/>
          <w:szCs w:val="24"/>
          <w:lang w:val="es-ES"/>
        </w:rPr>
        <w:t>Como principio general, la Cooperativa debe contar con la infraestructura tecnológica que le permita garantizar la adecuada administración del riesgo de crédito, así como dar garantía al seguimiento de la información en las bases de datos.</w:t>
      </w:r>
    </w:p>
    <w:p w14:paraId="5CA86A17">
      <w:pPr>
        <w:jc w:val="both"/>
        <w:rPr>
          <w:rFonts w:cs="Arial"/>
          <w:szCs w:val="24"/>
          <w:lang w:val="es-ES"/>
        </w:rPr>
      </w:pPr>
      <w:r>
        <w:rPr>
          <w:rFonts w:cs="Arial"/>
          <w:szCs w:val="24"/>
          <w:lang w:val="es-ES"/>
        </w:rPr>
        <w:t>Se deben desarrollar herramientas de apoyo a los procesos del riesgo de crédito, de forma que permita a lo largo del tiempo su facilidad en la toma de decisiones.</w:t>
      </w:r>
    </w:p>
    <w:p w14:paraId="71612EF4">
      <w:pPr>
        <w:jc w:val="both"/>
        <w:rPr>
          <w:rFonts w:cs="Arial"/>
          <w:szCs w:val="24"/>
          <w:lang w:val="es-ES"/>
        </w:rPr>
      </w:pPr>
      <w:r>
        <w:rPr>
          <w:rFonts w:cs="Arial"/>
          <w:szCs w:val="24"/>
          <w:lang w:val="es-ES"/>
        </w:rPr>
        <w:t>Frente a  la Confidencialidad, se establece que todos los funcionarios, directivos, junta de vigilancia y comités deberán conservar y acatar la reserva de información consagrada en el artículo 8 de la ley 1121 de 2006 y el artículo 105 del EOSF (Estatuto Orgánico del Sistema Financiero), la cual consiste en el deber jurídico que tienen las entidades financieras en su calidad de personas jurídicas y sus funcionarios de guardar absoluta reserva, secreto y descripción sobre la información de los asociados. Las actuaciones y las decisiones de los niveles resolutivos solamente pueden ser divulgadas a través de los canales propios de la Cooperativa a los organismos o personas a quienes compete conocerlas.</w:t>
      </w:r>
    </w:p>
    <w:p w14:paraId="3853445F">
      <w:pPr>
        <w:jc w:val="both"/>
        <w:rPr>
          <w:rFonts w:cs="Arial"/>
          <w:szCs w:val="24"/>
          <w:lang w:val="es-ES"/>
        </w:rPr>
      </w:pPr>
      <w:r>
        <w:rPr>
          <w:rFonts w:cs="Arial"/>
          <w:szCs w:val="24"/>
          <w:lang w:val="es-ES"/>
        </w:rPr>
        <w:t>Frente a los conflictos de interés, estos se definen como aquellas situaciones en virtud de las cuales una persona debido a su actividad se enfrenta a distintas alternativas de conducta con relación a intereses incompatibles, ninguno de los cuales puede privilegiar en atención a sus obligaciones legales o contractuales (Guía de Buen Gobierno para las Organizaciones Vigiladas por la Superintendencia de la Economía Solidaria, Carta Circular 005 de 2013). Ningún funcionario de la Institución debe aceptar dádivas o favores por la prestación de un servicio, por lo que, en caso de presentarse el supuesto, debe reportarlo a su superior</w:t>
      </w:r>
    </w:p>
    <w:p w14:paraId="6D72C28E">
      <w:pPr>
        <w:jc w:val="both"/>
        <w:rPr>
          <w:rFonts w:cs="Arial"/>
          <w:szCs w:val="24"/>
          <w:lang w:val="es-ES"/>
        </w:rPr>
      </w:pPr>
      <w:r>
        <w:rPr>
          <w:rFonts w:cs="Arial"/>
          <w:szCs w:val="24"/>
          <w:lang w:val="es-ES"/>
        </w:rPr>
        <w:t>COOPCALLEJONA debe asegurarse que los conflictos de intereses actuales o potenciales sean identificados y regulados para evitar riesgos a los asociados, a través de un control interno adecuado.</w:t>
      </w:r>
    </w:p>
    <w:p w14:paraId="669EBDD1">
      <w:pPr>
        <w:jc w:val="both"/>
        <w:rPr>
          <w:rFonts w:cs="Arial"/>
          <w:szCs w:val="24"/>
          <w:lang w:val="es-ES"/>
        </w:rPr>
      </w:pPr>
      <w:r>
        <w:rPr>
          <w:rFonts w:cs="Arial"/>
          <w:szCs w:val="24"/>
          <w:lang w:val="es-ES"/>
        </w:rPr>
        <w:t>Frente a la diversificación de la Cartera, la cooperativa deberá evitar la concentración de riesgo en la actividad crediticia como elemento fundamental para su sanidad financiera. Para que esta política sea posible es necesaria la diversificación de la cartera de créditos en cuanto a garantías, montos, plazos, destinos y mercados geográficos.</w:t>
      </w:r>
    </w:p>
    <w:p w14:paraId="72E4DB0E">
      <w:pPr>
        <w:jc w:val="both"/>
        <w:rPr>
          <w:rFonts w:cs="Arial"/>
          <w:szCs w:val="24"/>
          <w:lang w:val="es-ES"/>
        </w:rPr>
      </w:pPr>
      <w:r>
        <w:rPr>
          <w:rFonts w:cs="Arial"/>
          <w:szCs w:val="24"/>
          <w:lang w:val="es-ES"/>
        </w:rPr>
        <w:t xml:space="preserve">Frente a la Gestión de la Cartera, se deberá evaluar constantemente por parte del Consejo de Administración, la Gerencia General y el Área de Cartera, la calidad de la cartera y establecer las provisiones adecuadas para la protección de esta, efectuando además el saneamiento de los créditos que se califiquen como irrecuperables y que cumplan con las condiciones establecidas en el presente manual. </w:t>
      </w:r>
    </w:p>
    <w:p w14:paraId="50B4AA03">
      <w:pPr>
        <w:jc w:val="both"/>
        <w:rPr>
          <w:rFonts w:cs="Arial"/>
          <w:szCs w:val="24"/>
          <w:lang w:val="es-ES"/>
        </w:rPr>
      </w:pPr>
      <w:r>
        <w:rPr>
          <w:rFonts w:cs="Arial"/>
          <w:szCs w:val="24"/>
          <w:lang w:val="es-ES"/>
        </w:rPr>
        <w:t>Frente a las Garantías, la Cooperativa aceptará como respaldo en las solicitudes de crédito, garantía personal y garantía real (Admisible).</w:t>
      </w:r>
    </w:p>
    <w:p w14:paraId="3DEB0DBB">
      <w:pPr>
        <w:jc w:val="both"/>
        <w:rPr>
          <w:rFonts w:cs="Arial"/>
          <w:szCs w:val="24"/>
          <w:lang w:val="es-ES"/>
        </w:rPr>
      </w:pPr>
      <w:r>
        <w:rPr>
          <w:rFonts w:cs="Arial"/>
          <w:szCs w:val="24"/>
          <w:lang w:val="es-ES"/>
        </w:rPr>
        <w:t>Frente a la Rotación de la Cartera de Créditos, se deberá mantener una buena rotación de la cartera de créditos, actuando prudentemente en la fijación de plazos, montos y modalidades de pago y una oportuna gestión de cobranza que asegure bajo índice de morosidad.</w:t>
      </w:r>
    </w:p>
    <w:p w14:paraId="773E4D9D">
      <w:pPr>
        <w:jc w:val="both"/>
        <w:rPr>
          <w:rFonts w:cs="Arial"/>
          <w:szCs w:val="24"/>
          <w:lang w:val="es-ES"/>
        </w:rPr>
      </w:pPr>
      <w:r>
        <w:rPr>
          <w:rFonts w:cs="Arial"/>
          <w:szCs w:val="24"/>
          <w:lang w:val="es-ES"/>
        </w:rPr>
        <w:t xml:space="preserve">Frente a la seguridad en documentos, todos los títulos valores y las garantías deben ser custodiados en la oficina de origen del crédito en un lugar adecuado con acceso restringido y controlado. </w:t>
      </w:r>
    </w:p>
    <w:p w14:paraId="534C65B0">
      <w:pPr>
        <w:pStyle w:val="3"/>
      </w:pPr>
      <w:r>
        <w:t xml:space="preserve">  </w:t>
      </w:r>
      <w:bookmarkStart w:id="59" w:name="_Toc182642808"/>
      <w:bookmarkStart w:id="60" w:name="_Toc151443586"/>
      <w:r>
        <w:t>Fuente De Recursos</w:t>
      </w:r>
      <w:bookmarkEnd w:id="59"/>
      <w:bookmarkEnd w:id="60"/>
    </w:p>
    <w:p w14:paraId="34E5E1B6">
      <w:pPr>
        <w:ind w:left="142" w:right="49"/>
        <w:jc w:val="both"/>
        <w:rPr>
          <w:rFonts w:cs="Arial"/>
          <w:b/>
          <w:bCs/>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El servicio de crédito estará fundamentado básicamente en la captación de aportes de los asociados de la cooperativa y el financiamiento externo (Cupos del sistema financiero) se considerará como una fuente complementaria y eventual en caso de que los recursos propios no sean suficientes para cubrir la demanda de crédito, y se orientaran por los principios y políticas establecidas al respecto.</w:t>
      </w:r>
    </w:p>
    <w:p w14:paraId="0ADFC15A">
      <w:pPr>
        <w:ind w:left="142" w:right="49"/>
        <w:jc w:val="both"/>
        <w:rPr>
          <w:rFonts w:cs="Arial"/>
          <w:b/>
          <w:bCs/>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La eficiencia en el manejo de los recursos, debe ser una característica de la Cooperativa, buscando que, con la captación de aportes, se genere la posibilidad de prestar el mejor servicio de crédito de COOPCALLEJONA, para lo cual se buscará el máximo nivel de eficiencia en cuanto a la oportunidad de su entrega, variedad de productos crediticios, montos ajustados a las necesidades y capacidad de pago de los asociados.</w:t>
      </w:r>
    </w:p>
    <w:p w14:paraId="450960F4">
      <w:pPr>
        <w:pStyle w:val="3"/>
      </w:pPr>
      <w:r>
        <w:t xml:space="preserve"> </w:t>
      </w:r>
      <w:bookmarkStart w:id="61" w:name="_Toc182642809"/>
      <w:bookmarkStart w:id="62" w:name="_Toc151443587"/>
      <w:r>
        <w:t>Tasas De Colocación:</w:t>
      </w:r>
      <w:bookmarkEnd w:id="61"/>
      <w:bookmarkEnd w:id="62"/>
      <w:r>
        <w:t xml:space="preserve"> </w:t>
      </w:r>
    </w:p>
    <w:p w14:paraId="13D94084">
      <w:pPr>
        <w:tabs>
          <w:tab w:val="left" w:pos="708"/>
          <w:tab w:val="left" w:pos="709"/>
        </w:tabs>
        <w:spacing w:line="292" w:lineRule="exact"/>
        <w:ind w:left="142" w:right="49"/>
        <w:jc w:val="both"/>
        <w:rPr>
          <w:rFonts w:cs="Arial"/>
          <w:color w:val="000000" w:themeColor="text1"/>
          <w:szCs w:val="24"/>
          <w:lang w:val="es-ES"/>
          <w14:textFill>
            <w14:solidFill>
              <w14:schemeClr w14:val="tx1"/>
            </w14:solidFill>
          </w14:textFill>
        </w:rPr>
      </w:pPr>
      <w:r>
        <w:rPr>
          <w:rFonts w:cs="Arial"/>
          <w:color w:val="000000" w:themeColor="text1"/>
          <w:szCs w:val="24"/>
          <w:lang w:val="es-ES"/>
          <w14:textFill>
            <w14:solidFill>
              <w14:schemeClr w14:val="tx1"/>
            </w14:solidFill>
          </w14:textFill>
        </w:rPr>
        <w:t xml:space="preserve">El consejo de Administración es el encargado de la asignación de tasas en la entidad, por lo anterior las tasas de interés activas serán fijadas por el Consejo de Administración y divulgadas mediante Circular Reglamentaria. </w:t>
      </w:r>
    </w:p>
    <w:p w14:paraId="108CD38F">
      <w:pPr>
        <w:tabs>
          <w:tab w:val="left" w:pos="708"/>
          <w:tab w:val="left" w:pos="709"/>
        </w:tabs>
        <w:spacing w:line="292" w:lineRule="exact"/>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Siempre que el Consejo de Administración considere necesario efectuar ajustes a las tasas activas, deberá realizar y documentar los estudios de mercado que justifiquen estos movimientos, así como el impacto que estos cambios generan en los estados financieros de la entidad. El Consejo de Administración evaluará la posible alza o disminución de las tasas y se comparará a COOPCALLEJONA con las entidades que representan competencia y que se encuentran ubicadas en donde esta tiene presencia. En todo caso las tasas de interés deberán ser competitivas dentro del mercado financiero, y garantizarán la generación de excedentes que permitan el fortalecimiento y la continuidad de los programas que contribuyen al bienestar de los asociados y sus familias.</w:t>
      </w:r>
    </w:p>
    <w:p w14:paraId="059CD2FE">
      <w:pPr>
        <w:ind w:left="142" w:right="49"/>
        <w:jc w:val="both"/>
        <w:rPr>
          <w:rFonts w:cs="Arial"/>
          <w:b/>
          <w:bCs/>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Al fijar las tasas de interés que aplican para los créditos estas se establecerán dentro del marco de referencia de los topes máximos señalados por la Superintendencia Financiera de Colombia o la autoridad que señale el gobierno nacional. Es importante anotar que, al fijar las tasas de interés, el Consejo de Administración deberá garantizar la equivalencia entre los diferentes periodos y modalidades de créditos.</w:t>
      </w:r>
    </w:p>
    <w:p w14:paraId="6C571D08">
      <w:pPr>
        <w:tabs>
          <w:tab w:val="left" w:pos="708"/>
          <w:tab w:val="left" w:pos="709"/>
        </w:tabs>
        <w:spacing w:line="292" w:lineRule="exact"/>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Con el fin de mantener un adecuado seguimiento, las tasas del mercado serán evaluadas por lo menos 2 veces al año, actividad que será realizada por el encargado de riesgos y/o área comercial. Igualmente, en cualquier momento el Consejo de Administración podrá solicitar un informe del comportamiento de las tasas activas de las diferentes entidades financieras que se encuentran dentro del entorno social donde COOPCALLEJONA hace presencia, para lo cual la Gerencia deberá remitir la información mencionada.</w:t>
      </w:r>
    </w:p>
    <w:p w14:paraId="6501B60A">
      <w:pPr>
        <w:tabs>
          <w:tab w:val="left" w:pos="708"/>
          <w:tab w:val="left" w:pos="709"/>
        </w:tabs>
        <w:spacing w:line="292" w:lineRule="exact"/>
        <w:ind w:left="142" w:right="49"/>
        <w:jc w:val="both"/>
        <w:rPr>
          <w:rFonts w:cs="Arial"/>
          <w:color w:val="000000" w:themeColor="text1"/>
          <w:szCs w:val="24"/>
          <w:lang w:val="es-ES"/>
          <w14:textFill>
            <w14:solidFill>
              <w14:schemeClr w14:val="tx1"/>
            </w14:solidFill>
          </w14:textFill>
        </w:rPr>
      </w:pPr>
      <w:r>
        <w:rPr>
          <w:rFonts w:cs="Arial"/>
          <w:color w:val="000000" w:themeColor="text1"/>
          <w:szCs w:val="24"/>
          <w:lang w:val="es-ES"/>
          <w14:textFill>
            <w14:solidFill>
              <w14:schemeClr w14:val="tx1"/>
            </w14:solidFill>
          </w14:textFill>
        </w:rPr>
        <w:t>Una vez efectuados los cambios de tasas la Gerencia General podrá moverse en un margen de -200 puntos básicos (-2%) sobre las tasas aprobadas, para operaciones especiales que por su connotación y de acuerdo a la situación de la cooperativa puedan requerirse, incluyendo casos de retención de asociados, sin embargo, las operaciones en las cuales se utilice esta facultad serán informadas en la siguiente reunión del Consejo de Administración, dejando claro y evidenciado los motivos de esa excepción.</w:t>
      </w:r>
    </w:p>
    <w:p w14:paraId="0DB17A79">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Cuando se trate de recursos externos las tasas se sujetarán a las condiciones que en tal sentido exija el intermediario financiero.</w:t>
      </w:r>
    </w:p>
    <w:p w14:paraId="6CB42974">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Periódicamente la Gerencia General presentará un reporte al Consejo de Administración sobre el comportamiento de las tasas, el impacto en el estado de resultados específicamente en el margen de intermediación y en los excedentes.</w:t>
      </w:r>
    </w:p>
    <w:p w14:paraId="56A73B81">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Las tasas de interés podrán ser fijas, o variables (sujeta a la DTF o cualquier otra tasa variable que mida el mercado financiero), de acuerdo con las políticas que el Consejo de Administración y la Gerencia adopte para mitigar la exposición al riesgo de tasa de Interés.</w:t>
      </w:r>
    </w:p>
    <w:p w14:paraId="68A2A126">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Las condiciones de tasas serán las que rijan en el momento del desembolso y estarán en función de la posición de Tesorería y del comportamiento del mercado Financiero.</w:t>
      </w:r>
    </w:p>
    <w:p w14:paraId="420D0E1D">
      <w:pPr>
        <w:pStyle w:val="3"/>
      </w:pPr>
      <w:r>
        <w:t xml:space="preserve"> </w:t>
      </w:r>
      <w:bookmarkStart w:id="63" w:name="_Toc151443588"/>
      <w:bookmarkStart w:id="64" w:name="_Toc182642810"/>
      <w:r>
        <w:t>Plazos</w:t>
      </w:r>
      <w:bookmarkEnd w:id="63"/>
      <w:bookmarkEnd w:id="64"/>
      <w:r>
        <w:t xml:space="preserve"> </w:t>
      </w:r>
    </w:p>
    <w:p w14:paraId="09E34A2D">
      <w:pPr>
        <w:ind w:left="142" w:right="49"/>
        <w:jc w:val="both"/>
        <w:rPr>
          <w:rFonts w:cs="Arial"/>
          <w:b/>
          <w:bCs/>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Los plazos de los créditos se establecerán de acuerdo con los plazos máximos definidos en el Manual de líneas de crédito, según la línea que aplique, teniendo en cuenta el destino y la capacidad de pago del asociado.</w:t>
      </w:r>
    </w:p>
    <w:p w14:paraId="6FA15971">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La cooperativa otorgará créditos con recursos propios que contemplen periodo de gracia según las condiciones de las diferentes líneas de crédito o cuando se traten de créditos mediante recursos externos que contemplen también, periodos de gracia.</w:t>
      </w:r>
    </w:p>
    <w:p w14:paraId="1BF12DA1">
      <w:pPr>
        <w:pStyle w:val="3"/>
      </w:pPr>
      <w:bookmarkStart w:id="65" w:name="_Toc182642811"/>
      <w:bookmarkStart w:id="66" w:name="_Toc151443589"/>
      <w:r>
        <w:t>Amortización</w:t>
      </w:r>
      <w:bookmarkEnd w:id="65"/>
      <w:bookmarkEnd w:id="66"/>
    </w:p>
    <w:p w14:paraId="0E702A6B">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El asociado podrá pactar la cancelación del capital y los intereses en cuotas mensuales, bimestrales, trimestrales y semestrales teniendo en cuanta el flujo de caja del solicitante.</w:t>
      </w:r>
    </w:p>
    <w:p w14:paraId="001815CE">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Los intereses que cobra la cooperativa en contraprestación al crédito otorgado podrán ser pagados por los asociados en forma mensual, bimestral, trimestral y semestral en forma vencida o anticipada, teniendo en cuenta siempre la equivalencia de tasas.</w:t>
      </w:r>
    </w:p>
    <w:p w14:paraId="37092587">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Para los recursos externos, se considerarán las modalidades y condiciones de pago establecidas por la entidad que otorga los recursos.</w:t>
      </w:r>
    </w:p>
    <w:p w14:paraId="74F16D87">
      <w:pPr>
        <w:ind w:left="142" w:right="49"/>
        <w:jc w:val="both"/>
        <w:rPr>
          <w:rFonts w:cs="Arial"/>
          <w:color w:val="000000" w:themeColor="text1"/>
          <w:szCs w:val="24"/>
          <w14:textFill>
            <w14:solidFill>
              <w14:schemeClr w14:val="tx1"/>
            </w14:solidFill>
          </w14:textFill>
        </w:rPr>
      </w:pPr>
      <w:bookmarkStart w:id="67" w:name="_Toc482016548"/>
      <w:bookmarkEnd w:id="67"/>
      <w:r>
        <w:rPr>
          <w:rFonts w:cs="Arial"/>
          <w:color w:val="000000" w:themeColor="text1"/>
          <w:szCs w:val="24"/>
          <w14:textFill>
            <w14:solidFill>
              <w14:schemeClr w14:val="tx1"/>
            </w14:solidFill>
          </w14:textFill>
        </w:rPr>
        <w:t>Las formas de amortización a las cuales podrán acceder las personas naturales y jurídicas vinculadas a COOPCALLEJONA, son a saber:</w:t>
      </w:r>
    </w:p>
    <w:p w14:paraId="6D03D870">
      <w:pPr>
        <w:ind w:left="142" w:right="49"/>
        <w:jc w:val="both"/>
        <w:rPr>
          <w:rFonts w:cs="Arial"/>
          <w:color w:val="000000" w:themeColor="text1"/>
          <w:szCs w:val="24"/>
          <w14:textFill>
            <w14:solidFill>
              <w14:schemeClr w14:val="tx1"/>
            </w14:solidFill>
          </w14:textFill>
        </w:rPr>
      </w:pPr>
      <w:bookmarkStart w:id="68" w:name="_Toc483228340"/>
      <w:r>
        <w:rPr>
          <w:rFonts w:cs="Arial"/>
          <w:b/>
          <w:color w:val="000000" w:themeColor="text1"/>
          <w:szCs w:val="24"/>
          <w14:textFill>
            <w14:solidFill>
              <w14:schemeClr w14:val="tx1"/>
            </w14:solidFill>
          </w14:textFill>
        </w:rPr>
        <w:t>Cuota Fija:</w:t>
      </w:r>
      <w:bookmarkEnd w:id="68"/>
      <w:r>
        <w:rPr>
          <w:rFonts w:cs="Arial"/>
          <w:color w:val="000000" w:themeColor="text1"/>
          <w:szCs w:val="24"/>
          <w14:textFill>
            <w14:solidFill>
              <w14:schemeClr w14:val="tx1"/>
            </w14:solidFill>
          </w14:textFill>
        </w:rPr>
        <w:t xml:space="preserve"> Cuota fija es aquella forma de amortización en la cual se pactan cuotas periódicas de igual valor que incluyen capital e intereses pagaderos periódicamente de 1 a 12 meses, esta amortización está sujeta a las siguientes condiciones o características básicas:</w:t>
      </w:r>
    </w:p>
    <w:p w14:paraId="47933F64">
      <w:pPr>
        <w:numPr>
          <w:ilvl w:val="0"/>
          <w:numId w:val="16"/>
        </w:numPr>
        <w:spacing w:after="3" w:line="247" w:lineRule="auto"/>
        <w:ind w:left="567" w:right="49" w:hanging="283"/>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El interés de mora se cobrará con base en la cuota o cuotas vencidas, hasta cuando se declare vencida la totalidad de la obligación, momento en el cual los intereses se cobrarán sobre el saldo insoluto.</w:t>
      </w:r>
    </w:p>
    <w:p w14:paraId="76F3BF29">
      <w:pPr>
        <w:numPr>
          <w:ilvl w:val="0"/>
          <w:numId w:val="16"/>
        </w:numPr>
        <w:spacing w:after="3" w:line="247" w:lineRule="auto"/>
        <w:ind w:left="567" w:right="49" w:hanging="283"/>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Todo crédito en cobro jurídico, será declarado vencido en su totalidad y los intereses se cobrarán sobre saldos insolutos en lo sucesivo, salvo que se haya autorizado regresarlo a vigente o a categoría B, en cuyo caso se liquidarán de acuerdo a la línea de inversión respectiva.</w:t>
      </w:r>
    </w:p>
    <w:p w14:paraId="7FF96DF1">
      <w:pPr>
        <w:numPr>
          <w:ilvl w:val="0"/>
          <w:numId w:val="16"/>
        </w:numPr>
        <w:spacing w:after="3" w:line="247" w:lineRule="auto"/>
        <w:ind w:left="567" w:right="49" w:hanging="283"/>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El pago de las cuotas fijas podrá efectuarse por la totalidad de estas, y podrán recibirse abonos parciales sin importar si el crédito está o no declarado insoluto.</w:t>
      </w:r>
    </w:p>
    <w:p w14:paraId="1EFBC60A">
      <w:pPr>
        <w:numPr>
          <w:ilvl w:val="0"/>
          <w:numId w:val="16"/>
        </w:numPr>
        <w:spacing w:after="3" w:line="247" w:lineRule="auto"/>
        <w:ind w:left="567" w:right="49" w:hanging="283"/>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Cuando se trate de pagos parciales de cuota, la morosidad del crédito no cambia, sino hasta que ésta esté cancelada totalmente.</w:t>
      </w:r>
    </w:p>
    <w:p w14:paraId="3BE9417A">
      <w:pPr>
        <w:numPr>
          <w:ilvl w:val="0"/>
          <w:numId w:val="16"/>
        </w:numPr>
        <w:spacing w:after="3" w:line="247" w:lineRule="auto"/>
        <w:ind w:left="567" w:right="49" w:hanging="283"/>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Este tipo de amortización permite la realización de abonos de carácter extraordinario no pactados, estos podrán aplicarse a la obligación de acuerdo con la autorización escrita del asociado así:</w:t>
      </w:r>
    </w:p>
    <w:p w14:paraId="7E81C8F9">
      <w:pPr>
        <w:spacing w:after="0"/>
        <w:ind w:left="142" w:right="49"/>
        <w:jc w:val="both"/>
        <w:rPr>
          <w:rFonts w:cs="Arial"/>
          <w:color w:val="000000" w:themeColor="text1"/>
          <w:szCs w:val="24"/>
          <w14:textFill>
            <w14:solidFill>
              <w14:schemeClr w14:val="tx1"/>
            </w14:solidFill>
          </w14:textFill>
        </w:rPr>
      </w:pPr>
    </w:p>
    <w:p w14:paraId="5407E8A0">
      <w:pPr>
        <w:numPr>
          <w:ilvl w:val="0"/>
          <w:numId w:val="17"/>
        </w:numPr>
        <w:spacing w:after="3" w:line="247" w:lineRule="auto"/>
        <w:ind w:left="851"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Abono varias cuotas</w:t>
      </w:r>
    </w:p>
    <w:p w14:paraId="4E7418D1">
      <w:pPr>
        <w:numPr>
          <w:ilvl w:val="0"/>
          <w:numId w:val="17"/>
        </w:numPr>
        <w:spacing w:after="3" w:line="247" w:lineRule="auto"/>
        <w:ind w:left="851"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Reducción del plazo originalmente pactado, el deudor continúa pagando cuotas por igual valor</w:t>
      </w:r>
    </w:p>
    <w:p w14:paraId="56E8E9D5">
      <w:pPr>
        <w:numPr>
          <w:ilvl w:val="0"/>
          <w:numId w:val="17"/>
        </w:numPr>
        <w:spacing w:after="3" w:line="247" w:lineRule="auto"/>
        <w:ind w:left="851"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Reducción de la cuota a pagar.</w:t>
      </w:r>
    </w:p>
    <w:p w14:paraId="405F7D66">
      <w:pPr>
        <w:spacing w:after="3" w:line="247" w:lineRule="auto"/>
        <w:ind w:left="851" w:right="49"/>
        <w:jc w:val="both"/>
        <w:rPr>
          <w:rFonts w:cs="Arial"/>
          <w:color w:val="000000" w:themeColor="text1"/>
          <w:szCs w:val="24"/>
          <w14:textFill>
            <w14:solidFill>
              <w14:schemeClr w14:val="tx1"/>
            </w14:solidFill>
          </w14:textFill>
        </w:rPr>
      </w:pPr>
    </w:p>
    <w:p w14:paraId="2A5A96E9">
      <w:pPr>
        <w:numPr>
          <w:ilvl w:val="0"/>
          <w:numId w:val="16"/>
        </w:numPr>
        <w:tabs>
          <w:tab w:val="center" w:pos="709"/>
          <w:tab w:val="center" w:pos="4858"/>
        </w:tabs>
        <w:spacing w:after="3" w:line="247" w:lineRule="auto"/>
        <w:ind w:left="709" w:right="49" w:hanging="283"/>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Las cuotas se pueden prorrogar, pero no se podrán modificar las fechas.</w:t>
      </w:r>
    </w:p>
    <w:p w14:paraId="705C2EDA">
      <w:pPr>
        <w:numPr>
          <w:ilvl w:val="0"/>
          <w:numId w:val="16"/>
        </w:numPr>
        <w:tabs>
          <w:tab w:val="center" w:pos="709"/>
        </w:tabs>
        <w:spacing w:after="3" w:line="247" w:lineRule="auto"/>
        <w:ind w:left="709" w:right="49" w:hanging="283"/>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Dentro de este tipo de amortización podrán pactarse abonos extras periódicos a capital. La periodicidad de abonos extras deberá ser superior a la periodicidad de pago de capital.</w:t>
      </w:r>
    </w:p>
    <w:p w14:paraId="1B7E429B">
      <w:pPr>
        <w:spacing w:after="3" w:line="247" w:lineRule="auto"/>
        <w:ind w:left="142" w:right="49"/>
        <w:jc w:val="both"/>
        <w:rPr>
          <w:rFonts w:cs="Arial"/>
          <w:color w:val="000000" w:themeColor="text1"/>
          <w:szCs w:val="24"/>
          <w:highlight w:val="yellow"/>
          <w14:textFill>
            <w14:solidFill>
              <w14:schemeClr w14:val="tx1"/>
            </w14:solidFill>
          </w14:textFill>
        </w:rPr>
      </w:pPr>
    </w:p>
    <w:p w14:paraId="55CDECE1">
      <w:pPr>
        <w:spacing w:after="0"/>
        <w:ind w:left="142" w:right="49"/>
        <w:jc w:val="both"/>
        <w:rPr>
          <w:rFonts w:cs="Arial"/>
          <w:color w:val="000000" w:themeColor="text1"/>
          <w:szCs w:val="24"/>
          <w14:textFill>
            <w14:solidFill>
              <w14:schemeClr w14:val="tx1"/>
            </w14:solidFill>
          </w14:textFill>
        </w:rPr>
      </w:pPr>
    </w:p>
    <w:p w14:paraId="580552E5">
      <w:pPr>
        <w:spacing w:after="0"/>
        <w:ind w:left="142" w:right="49"/>
        <w:jc w:val="both"/>
        <w:rPr>
          <w:rFonts w:cs="Arial"/>
          <w:color w:val="000000" w:themeColor="text1"/>
          <w:szCs w:val="24"/>
          <w14:textFill>
            <w14:solidFill>
              <w14:schemeClr w14:val="tx1"/>
            </w14:solidFill>
          </w14:textFill>
        </w:rPr>
      </w:pPr>
      <w:bookmarkStart w:id="69" w:name="_Toc483228341"/>
      <w:r>
        <w:rPr>
          <w:rFonts w:cs="Arial"/>
          <w:b/>
          <w:color w:val="000000" w:themeColor="text1"/>
          <w:szCs w:val="24"/>
          <w14:textFill>
            <w14:solidFill>
              <w14:schemeClr w14:val="tx1"/>
            </w14:solidFill>
          </w14:textFill>
        </w:rPr>
        <w:t>Cuota Variable</w:t>
      </w:r>
      <w:bookmarkEnd w:id="69"/>
      <w:r>
        <w:rPr>
          <w:rFonts w:cs="Arial"/>
          <w:b/>
          <w:color w:val="000000" w:themeColor="text1"/>
          <w:szCs w:val="24"/>
          <w14:textFill>
            <w14:solidFill>
              <w14:schemeClr w14:val="tx1"/>
            </w14:solidFill>
          </w14:textFill>
        </w:rPr>
        <w:t xml:space="preserve">. </w:t>
      </w:r>
      <w:r>
        <w:rPr>
          <w:rFonts w:cs="Arial"/>
          <w:color w:val="000000" w:themeColor="text1"/>
          <w:szCs w:val="24"/>
          <w14:textFill>
            <w14:solidFill>
              <w14:schemeClr w14:val="tx1"/>
            </w14:solidFill>
          </w14:textFill>
        </w:rPr>
        <w:t>Es aquella a la cual tienen derecho todos los asociados beneficiarios del servicio de crédito que previamente reúnan los requisitos exigidos, en la cual se pactan de común acuerdo cuotas variables fijas a capital periódicamente de 1 a 12 meses, más los respectivos intereses de acuerdo a la circular básica contable y financiera vigente expedida por la Superintendencia de Economía Solidaria.</w:t>
      </w:r>
    </w:p>
    <w:p w14:paraId="5F4A0F41">
      <w:pPr>
        <w:spacing w:after="0"/>
        <w:ind w:left="142" w:right="49"/>
        <w:jc w:val="both"/>
        <w:rPr>
          <w:rFonts w:cs="Arial"/>
          <w:color w:val="000000" w:themeColor="text1"/>
          <w:szCs w:val="24"/>
          <w14:textFill>
            <w14:solidFill>
              <w14:schemeClr w14:val="tx1"/>
            </w14:solidFill>
          </w14:textFill>
        </w:rPr>
      </w:pPr>
    </w:p>
    <w:p w14:paraId="37381851">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En este tipo de amortización los intereses serán cobrados sobre el saldo de capital adeudado que, sumados a la cuota del periodo, resulta el valor a pagar, suma que para todos los casos será variable decreciente.  En su aplicación se tendrán en cuenta las siguientes características: </w:t>
      </w:r>
    </w:p>
    <w:p w14:paraId="7E099DE2">
      <w:pPr>
        <w:spacing w:after="0"/>
        <w:ind w:left="142" w:right="49"/>
        <w:jc w:val="both"/>
        <w:rPr>
          <w:rFonts w:cs="Arial"/>
          <w:color w:val="000000" w:themeColor="text1"/>
          <w:szCs w:val="24"/>
          <w14:textFill>
            <w14:solidFill>
              <w14:schemeClr w14:val="tx1"/>
            </w14:solidFill>
          </w14:textFill>
        </w:rPr>
      </w:pPr>
    </w:p>
    <w:p w14:paraId="51FAEBB9">
      <w:pPr>
        <w:numPr>
          <w:ilvl w:val="0"/>
          <w:numId w:val="18"/>
        </w:numPr>
        <w:spacing w:after="3" w:line="247" w:lineRule="auto"/>
        <w:ind w:left="567" w:right="49" w:hanging="283"/>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En este tipo de amortización, los intereses por mora se cobrarán sobre el valor de capital de las cuotas vencidas.</w:t>
      </w:r>
    </w:p>
    <w:p w14:paraId="22320588">
      <w:pPr>
        <w:numPr>
          <w:ilvl w:val="0"/>
          <w:numId w:val="18"/>
        </w:numPr>
        <w:spacing w:after="3" w:line="247" w:lineRule="auto"/>
        <w:ind w:left="567" w:right="49" w:hanging="283"/>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Todo crédito que se encuentre en cobro jurídico será declarado vencido en su totalidad y los intereses se cobrarán sobre saldos insolutos en lo sucesivo, salvo que se haya autorizado regresarlo a vigente o a categoría B, en cuyo caso se liquidarán de acuerdo a la línea de inversión respectiva.</w:t>
      </w:r>
    </w:p>
    <w:p w14:paraId="6135FFDE">
      <w:pPr>
        <w:numPr>
          <w:ilvl w:val="0"/>
          <w:numId w:val="18"/>
        </w:numPr>
        <w:spacing w:after="3" w:line="247" w:lineRule="auto"/>
        <w:ind w:left="567" w:right="49" w:hanging="283"/>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El pago de las cuotas variables podrá efectuarse por la totalidad de las mismas, y podrán recibirse abonos parciales sin importar si el crédito está o no declarado insoluto.</w:t>
      </w:r>
    </w:p>
    <w:p w14:paraId="6FA5CAA0">
      <w:pPr>
        <w:numPr>
          <w:ilvl w:val="0"/>
          <w:numId w:val="18"/>
        </w:numPr>
        <w:spacing w:after="3" w:line="247" w:lineRule="auto"/>
        <w:ind w:left="567" w:right="49" w:hanging="283"/>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Cuando se trate de pagos parciales de cuota, la morosidad del crédito no cambia, sino hasta que ésta esté cancelada totalmente.</w:t>
      </w:r>
    </w:p>
    <w:p w14:paraId="465B5A4E">
      <w:pPr>
        <w:numPr>
          <w:ilvl w:val="0"/>
          <w:numId w:val="18"/>
        </w:numPr>
        <w:spacing w:after="3" w:line="247" w:lineRule="auto"/>
        <w:ind w:left="567" w:right="49" w:hanging="283"/>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Este tipo de amortización permite la realización de abonos de carácter extraordinario no pactados, estos podrán aplicarse a la obligación de acuerdo con la autorización escrita del asociado así:</w:t>
      </w:r>
    </w:p>
    <w:p w14:paraId="39A437AE">
      <w:pPr>
        <w:spacing w:after="0"/>
        <w:ind w:left="142" w:right="49"/>
        <w:jc w:val="both"/>
        <w:rPr>
          <w:rFonts w:cs="Arial"/>
          <w:color w:val="000000" w:themeColor="text1"/>
          <w:szCs w:val="24"/>
          <w14:textFill>
            <w14:solidFill>
              <w14:schemeClr w14:val="tx1"/>
            </w14:solidFill>
          </w14:textFill>
        </w:rPr>
      </w:pPr>
    </w:p>
    <w:p w14:paraId="6BF8E3C7">
      <w:pPr>
        <w:numPr>
          <w:ilvl w:val="0"/>
          <w:numId w:val="19"/>
        </w:numPr>
        <w:spacing w:after="3" w:line="247" w:lineRule="auto"/>
        <w:ind w:left="851"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Abono varias cuotas</w:t>
      </w:r>
    </w:p>
    <w:p w14:paraId="464733C4">
      <w:pPr>
        <w:numPr>
          <w:ilvl w:val="0"/>
          <w:numId w:val="19"/>
        </w:numPr>
        <w:spacing w:after="3" w:line="247" w:lineRule="auto"/>
        <w:ind w:left="851"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Reducción del plazo originalmente pactado, el deudor continúa pagando cuotas por igual valor</w:t>
      </w:r>
    </w:p>
    <w:p w14:paraId="3499C464">
      <w:pPr>
        <w:numPr>
          <w:ilvl w:val="0"/>
          <w:numId w:val="19"/>
        </w:numPr>
        <w:spacing w:after="0"/>
        <w:ind w:left="851"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Reducción de la cuota a pagar</w:t>
      </w:r>
    </w:p>
    <w:p w14:paraId="0A0FF02C">
      <w:pPr>
        <w:spacing w:after="0"/>
        <w:ind w:left="142" w:right="49"/>
        <w:jc w:val="both"/>
        <w:rPr>
          <w:rFonts w:cs="Arial"/>
          <w:color w:val="000000" w:themeColor="text1"/>
          <w:szCs w:val="24"/>
          <w14:textFill>
            <w14:solidFill>
              <w14:schemeClr w14:val="tx1"/>
            </w14:solidFill>
          </w14:textFill>
        </w:rPr>
      </w:pPr>
    </w:p>
    <w:p w14:paraId="207D722C">
      <w:pPr>
        <w:numPr>
          <w:ilvl w:val="0"/>
          <w:numId w:val="18"/>
        </w:numPr>
        <w:spacing w:after="3" w:line="247" w:lineRule="auto"/>
        <w:ind w:left="709" w:right="49" w:hanging="425"/>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Las cuotas si se pueden prorrogar, pero no se podrá modificar las fechas.</w:t>
      </w:r>
    </w:p>
    <w:p w14:paraId="0791BF94">
      <w:pPr>
        <w:numPr>
          <w:ilvl w:val="0"/>
          <w:numId w:val="18"/>
        </w:numPr>
        <w:spacing w:after="0"/>
        <w:ind w:left="709" w:right="49" w:hanging="425"/>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Dentro de este tipo de amortización podrán pactarse abonos extras periódicos a capital. La periodicidad de abonos extras deberá ser superior a la periodicidad de pago de capital.</w:t>
      </w:r>
    </w:p>
    <w:p w14:paraId="325FFBC3">
      <w:pPr>
        <w:ind w:left="142" w:right="49"/>
        <w:jc w:val="both"/>
        <w:rPr>
          <w:rFonts w:cs="Arial"/>
          <w:color w:val="000000" w:themeColor="text1"/>
          <w:szCs w:val="24"/>
          <w14:textFill>
            <w14:solidFill>
              <w14:schemeClr w14:val="tx1"/>
            </w14:solidFill>
          </w14:textFill>
        </w:rPr>
      </w:pPr>
    </w:p>
    <w:p w14:paraId="274A4248">
      <w:pPr>
        <w:pStyle w:val="3"/>
      </w:pPr>
      <w:r>
        <w:t xml:space="preserve"> </w:t>
      </w:r>
      <w:bookmarkStart w:id="70" w:name="_Toc151443590"/>
      <w:bookmarkStart w:id="71" w:name="_Toc182642812"/>
      <w:r>
        <w:t>Clasificación De La Cartera</w:t>
      </w:r>
      <w:bookmarkEnd w:id="70"/>
      <w:bookmarkEnd w:id="71"/>
    </w:p>
    <w:p w14:paraId="66DD80D9">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Los Asociados a COOPCALLEJONA tendrán acceso a los diferentes tipos de cartera, únicamente bajo la modalidad de consumo. </w:t>
      </w:r>
    </w:p>
    <w:p w14:paraId="7283DD6C">
      <w:pPr>
        <w:pStyle w:val="3"/>
      </w:pPr>
      <w:bookmarkStart w:id="72" w:name="_Toc151443591"/>
      <w:bookmarkStart w:id="73" w:name="_Toc182642813"/>
      <w:r>
        <w:t>Líneas De Créditos:</w:t>
      </w:r>
      <w:bookmarkEnd w:id="72"/>
      <w:bookmarkEnd w:id="73"/>
      <w:r>
        <w:t xml:space="preserve"> </w:t>
      </w:r>
    </w:p>
    <w:p w14:paraId="47D27284">
      <w:pPr>
        <w:spacing w:after="0" w:line="240" w:lineRule="auto"/>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La cooperativa estableció el Manual de líneas de créditos, el cual se encuentra aprobado por el consejo de administración, en este documento se identifican claramente y en detalle las condiciones financieras para el otorgamiento de créditos, en lo referente al plazo, vinculación comercial o multiplicador en aportes, sistema de amortización, modalidad de pago de capital e intereses, garantía, inversiones financiables, beneficiarios y demás condiciones o requisitos especiales. </w:t>
      </w:r>
    </w:p>
    <w:p w14:paraId="6F801C93">
      <w:pPr>
        <w:spacing w:after="3" w:line="240" w:lineRule="auto"/>
        <w:ind w:left="142" w:right="49"/>
        <w:jc w:val="both"/>
        <w:rPr>
          <w:rFonts w:cs="Arial"/>
          <w:color w:val="000000" w:themeColor="text1"/>
          <w:szCs w:val="24"/>
          <w14:textFill>
            <w14:solidFill>
              <w14:schemeClr w14:val="tx1"/>
            </w14:solidFill>
          </w14:textFill>
        </w:rPr>
      </w:pPr>
    </w:p>
    <w:p w14:paraId="20D51F74">
      <w:pPr>
        <w:pStyle w:val="3"/>
      </w:pPr>
      <w:bookmarkStart w:id="74" w:name="_Toc151443592"/>
      <w:bookmarkStart w:id="75" w:name="_Toc182642814"/>
      <w:r>
        <w:t>Entes O Instancias De Aprobación:</w:t>
      </w:r>
      <w:bookmarkEnd w:id="74"/>
      <w:bookmarkEnd w:id="75"/>
    </w:p>
    <w:p w14:paraId="2B2455EC">
      <w:pPr>
        <w:spacing w:after="0"/>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Dentro de la estructura administrativa de COOPCALLEJONA se establecen los siguientes estamentos con facultad para aprobar o rechazar créditos presentados por los asociados, así como definir sobre normalización de cartera, estamentos que actuarán conforme los Decretos emitidos por el Gobierno Nacional, los Estatutos de la Cooperativa, así como el manual SARC y las circulares que expida la administración.</w:t>
      </w:r>
    </w:p>
    <w:p w14:paraId="2C00FBBA">
      <w:pPr>
        <w:spacing w:after="0"/>
        <w:ind w:left="142" w:right="49"/>
        <w:jc w:val="both"/>
        <w:rPr>
          <w:rFonts w:cs="Arial"/>
          <w:color w:val="000000" w:themeColor="text1"/>
          <w:szCs w:val="24"/>
          <w14:textFill>
            <w14:solidFill>
              <w14:schemeClr w14:val="tx1"/>
            </w14:solidFill>
          </w14:textFill>
        </w:rPr>
      </w:pPr>
    </w:p>
    <w:p w14:paraId="3CC5E2DD">
      <w:pPr>
        <w:pStyle w:val="67"/>
        <w:numPr>
          <w:ilvl w:val="0"/>
          <w:numId w:val="20"/>
        </w:numPr>
        <w:spacing w:after="0" w:line="240" w:lineRule="auto"/>
        <w:ind w:right="49"/>
        <w:jc w:val="both"/>
        <w:rPr>
          <w:rFonts w:cs="Arial"/>
          <w:color w:val="000000" w:themeColor="text1"/>
          <w:szCs w:val="24"/>
          <w14:textFill>
            <w14:solidFill>
              <w14:schemeClr w14:val="tx1"/>
            </w14:solidFill>
          </w14:textFill>
        </w:rPr>
      </w:pPr>
      <w:bookmarkStart w:id="76" w:name="_Toc483228280"/>
      <w:r>
        <w:rPr>
          <w:rStyle w:val="75"/>
          <w:rFonts w:ascii="Arial" w:hAnsi="Arial" w:cs="Arial" w:eastAsiaTheme="minorHAnsi"/>
          <w:b/>
          <w:color w:val="000000" w:themeColor="text1"/>
          <w:sz w:val="24"/>
          <w:szCs w:val="24"/>
          <w14:textFill>
            <w14:solidFill>
              <w14:schemeClr w14:val="tx1"/>
            </w14:solidFill>
          </w14:textFill>
        </w:rPr>
        <w:t>Consejo de Administración</w:t>
      </w:r>
      <w:bookmarkEnd w:id="76"/>
      <w:r>
        <w:rPr>
          <w:rStyle w:val="75"/>
          <w:rFonts w:ascii="Arial" w:hAnsi="Arial" w:cs="Arial" w:eastAsiaTheme="minorHAnsi"/>
          <w:color w:val="000000" w:themeColor="text1"/>
          <w:sz w:val="24"/>
          <w:szCs w:val="24"/>
          <w14:textFill>
            <w14:solidFill>
              <w14:schemeClr w14:val="tx1"/>
            </w14:solidFill>
          </w14:textFill>
        </w:rPr>
        <w:t xml:space="preserve">. </w:t>
      </w:r>
      <w:r>
        <w:rPr>
          <w:rFonts w:cs="Arial"/>
          <w:color w:val="000000" w:themeColor="text1"/>
          <w:szCs w:val="24"/>
          <w14:textFill>
            <w14:solidFill>
              <w14:schemeClr w14:val="tx1"/>
            </w14:solidFill>
          </w14:textFill>
        </w:rPr>
        <w:t>Como máximo organismo de administración de la Cooperativa.</w:t>
      </w:r>
    </w:p>
    <w:p w14:paraId="0E9D1F64">
      <w:pPr>
        <w:spacing w:after="0" w:line="240" w:lineRule="auto"/>
        <w:ind w:left="142" w:right="49"/>
        <w:jc w:val="both"/>
        <w:rPr>
          <w:rStyle w:val="75"/>
          <w:rFonts w:ascii="Arial" w:hAnsi="Arial" w:cs="Arial" w:eastAsiaTheme="minorHAnsi"/>
          <w:color w:val="000000" w:themeColor="text1"/>
          <w:sz w:val="24"/>
          <w:szCs w:val="24"/>
          <w14:textFill>
            <w14:solidFill>
              <w14:schemeClr w14:val="tx1"/>
            </w14:solidFill>
          </w14:textFill>
        </w:rPr>
      </w:pPr>
    </w:p>
    <w:p w14:paraId="3CC9F068">
      <w:pPr>
        <w:pStyle w:val="67"/>
        <w:numPr>
          <w:ilvl w:val="0"/>
          <w:numId w:val="20"/>
        </w:numPr>
        <w:spacing w:after="0" w:line="240" w:lineRule="auto"/>
        <w:ind w:right="49"/>
        <w:jc w:val="both"/>
        <w:rPr>
          <w:rFonts w:cs="Arial"/>
          <w:color w:val="000000" w:themeColor="text1"/>
          <w:szCs w:val="24"/>
          <w14:textFill>
            <w14:solidFill>
              <w14:schemeClr w14:val="tx1"/>
            </w14:solidFill>
          </w14:textFill>
        </w:rPr>
      </w:pPr>
      <w:bookmarkStart w:id="77" w:name="_Toc483228281"/>
      <w:r>
        <w:rPr>
          <w:rStyle w:val="75"/>
          <w:rFonts w:ascii="Arial" w:hAnsi="Arial" w:cs="Arial" w:eastAsiaTheme="minorHAnsi"/>
          <w:b/>
          <w:color w:val="000000" w:themeColor="text1"/>
          <w:sz w:val="24"/>
          <w:szCs w:val="24"/>
          <w14:textFill>
            <w14:solidFill>
              <w14:schemeClr w14:val="tx1"/>
            </w14:solidFill>
          </w14:textFill>
        </w:rPr>
        <w:t>Comité de Crédito</w:t>
      </w:r>
      <w:bookmarkEnd w:id="77"/>
      <w:r>
        <w:rPr>
          <w:rStyle w:val="75"/>
          <w:rFonts w:ascii="Arial" w:hAnsi="Arial" w:cs="Arial" w:eastAsiaTheme="minorHAnsi"/>
          <w:b/>
          <w:color w:val="000000" w:themeColor="text1"/>
          <w:sz w:val="24"/>
          <w:szCs w:val="24"/>
          <w14:textFill>
            <w14:solidFill>
              <w14:schemeClr w14:val="tx1"/>
            </w14:solidFill>
          </w14:textFill>
        </w:rPr>
        <w:t>.</w:t>
      </w:r>
      <w:r>
        <w:rPr>
          <w:rStyle w:val="75"/>
          <w:rFonts w:ascii="Arial" w:hAnsi="Arial" w:cs="Arial" w:eastAsiaTheme="minorHAnsi"/>
          <w:color w:val="000000" w:themeColor="text1"/>
          <w:sz w:val="24"/>
          <w:szCs w:val="24"/>
          <w14:textFill>
            <w14:solidFill>
              <w14:schemeClr w14:val="tx1"/>
            </w14:solidFill>
          </w14:textFill>
        </w:rPr>
        <w:t xml:space="preserve"> </w:t>
      </w:r>
      <w:r>
        <w:rPr>
          <w:rFonts w:cs="Arial"/>
          <w:color w:val="000000" w:themeColor="text1"/>
          <w:szCs w:val="24"/>
          <w14:textFill>
            <w14:solidFill>
              <w14:schemeClr w14:val="tx1"/>
            </w14:solidFill>
          </w14:textFill>
        </w:rPr>
        <w:t>Integrado por un (1) Directivo, Gerente de la Cooperativa o su delegado y un (1) Asesor Comercial.</w:t>
      </w:r>
    </w:p>
    <w:p w14:paraId="3AEF7BA2">
      <w:pPr>
        <w:pStyle w:val="67"/>
        <w:rPr>
          <w:rFonts w:cs="Arial"/>
          <w:color w:val="000000" w:themeColor="text1"/>
          <w:szCs w:val="24"/>
          <w14:textFill>
            <w14:solidFill>
              <w14:schemeClr w14:val="tx1"/>
            </w14:solidFill>
          </w14:textFill>
        </w:rPr>
      </w:pPr>
    </w:p>
    <w:p w14:paraId="6D719F0C">
      <w:pPr>
        <w:pStyle w:val="67"/>
        <w:numPr>
          <w:ilvl w:val="0"/>
          <w:numId w:val="20"/>
        </w:numPr>
        <w:spacing w:after="0" w:line="240" w:lineRule="auto"/>
        <w:ind w:right="49"/>
        <w:jc w:val="both"/>
        <w:rPr>
          <w:rFonts w:cs="Arial"/>
          <w:b/>
          <w:bCs/>
          <w:color w:val="000000" w:themeColor="text1"/>
          <w:szCs w:val="24"/>
          <w14:textFill>
            <w14:solidFill>
              <w14:schemeClr w14:val="tx1"/>
            </w14:solidFill>
          </w14:textFill>
        </w:rPr>
      </w:pPr>
      <w:r>
        <w:rPr>
          <w:rFonts w:cs="Arial"/>
          <w:b/>
          <w:bCs/>
          <w:color w:val="000000" w:themeColor="text1"/>
          <w:szCs w:val="24"/>
          <w14:textFill>
            <w14:solidFill>
              <w14:schemeClr w14:val="tx1"/>
            </w14:solidFill>
          </w14:textFill>
        </w:rPr>
        <w:t xml:space="preserve">Gerencia: </w:t>
      </w:r>
      <w:r>
        <w:rPr>
          <w:rFonts w:cs="Arial"/>
          <w:color w:val="000000" w:themeColor="text1"/>
          <w:szCs w:val="24"/>
          <w14:textFill>
            <w14:solidFill>
              <w14:schemeClr w14:val="tx1"/>
            </w14:solidFill>
          </w14:textFill>
        </w:rPr>
        <w:t>Como representante legal de la Cooperativa.</w:t>
      </w:r>
    </w:p>
    <w:p w14:paraId="2A0FE323">
      <w:pPr>
        <w:spacing w:after="0" w:line="240" w:lineRule="auto"/>
        <w:ind w:right="49"/>
        <w:jc w:val="both"/>
        <w:rPr>
          <w:rFonts w:cs="Arial"/>
          <w:color w:val="000000" w:themeColor="text1"/>
          <w:szCs w:val="24"/>
          <w14:textFill>
            <w14:solidFill>
              <w14:schemeClr w14:val="tx1"/>
            </w14:solidFill>
          </w14:textFill>
        </w:rPr>
      </w:pPr>
    </w:p>
    <w:p w14:paraId="3E897F12">
      <w:pPr>
        <w:pStyle w:val="4"/>
      </w:pPr>
      <w:bookmarkStart w:id="78" w:name="_Toc151443593"/>
      <w:bookmarkStart w:id="79" w:name="_Toc483228284"/>
      <w:bookmarkStart w:id="80" w:name="_Toc182642815"/>
      <w:r>
        <w:t>6.7.1 Niveles de atribución otorgamiento de crédito</w:t>
      </w:r>
      <w:bookmarkEnd w:id="78"/>
      <w:bookmarkEnd w:id="79"/>
      <w:bookmarkEnd w:id="80"/>
    </w:p>
    <w:p w14:paraId="3BDCA8B6">
      <w:pPr>
        <w:spacing w:after="0" w:line="240" w:lineRule="auto"/>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En observancia de las disposiciones establecidas en el decreto 1840 de 1997 y los artículos 23 y 24 del presente acuerdo relacionadas con las cuantías máximas y mínimas establecidas, los órganos que trata el artículo precedente tendrán las siguientes competencias.</w:t>
      </w:r>
    </w:p>
    <w:p w14:paraId="5DEB8E72">
      <w:pPr>
        <w:spacing w:after="0"/>
        <w:ind w:right="49"/>
        <w:jc w:val="both"/>
        <w:rPr>
          <w:rFonts w:cs="Arial"/>
          <w:color w:val="000000" w:themeColor="text1"/>
          <w:szCs w:val="24"/>
          <w14:textFill>
            <w14:solidFill>
              <w14:schemeClr w14:val="tx1"/>
            </w14:solidFill>
          </w14:textFill>
        </w:rPr>
      </w:pPr>
      <w:bookmarkStart w:id="81" w:name="_Toc483228287"/>
    </w:p>
    <w:p w14:paraId="30C4A40D">
      <w:pPr>
        <w:pStyle w:val="67"/>
        <w:numPr>
          <w:ilvl w:val="0"/>
          <w:numId w:val="21"/>
        </w:numPr>
        <w:spacing w:after="0"/>
        <w:ind w:left="142" w:right="49" w:firstLine="0"/>
        <w:jc w:val="both"/>
        <w:rPr>
          <w:rFonts w:cs="Arial"/>
          <w:color w:val="000000" w:themeColor="text1"/>
          <w:szCs w:val="24"/>
          <w14:textFill>
            <w14:solidFill>
              <w14:schemeClr w14:val="tx1"/>
            </w14:solidFill>
          </w14:textFill>
        </w:rPr>
      </w:pPr>
      <w:r>
        <w:rPr>
          <w:rFonts w:cs="Arial"/>
          <w:b/>
          <w:color w:val="000000" w:themeColor="text1"/>
          <w:szCs w:val="24"/>
          <w14:textFill>
            <w14:solidFill>
              <w14:schemeClr w14:val="tx1"/>
            </w14:solidFill>
          </w14:textFill>
        </w:rPr>
        <w:t>Comité De Crédito</w:t>
      </w:r>
      <w:bookmarkEnd w:id="81"/>
      <w:r>
        <w:rPr>
          <w:rFonts w:cs="Arial"/>
          <w:b/>
          <w:color w:val="000000" w:themeColor="text1"/>
          <w:szCs w:val="24"/>
          <w14:textFill>
            <w14:solidFill>
              <w14:schemeClr w14:val="tx1"/>
            </w14:solidFill>
          </w14:textFill>
        </w:rPr>
        <w:t xml:space="preserve">: </w:t>
      </w:r>
      <w:r>
        <w:rPr>
          <w:rFonts w:cs="Arial"/>
          <w:color w:val="000000" w:themeColor="text1"/>
          <w:szCs w:val="24"/>
          <w14:textFill>
            <w14:solidFill>
              <w14:schemeClr w14:val="tx1"/>
            </w14:solidFill>
          </w14:textFill>
        </w:rPr>
        <w:t>Tiene facultad para aprobar créditos de más de 40 SMMLV y hasta 100 SMMLV.</w:t>
      </w:r>
    </w:p>
    <w:p w14:paraId="02D64B23">
      <w:pPr>
        <w:spacing w:after="0"/>
        <w:ind w:left="142" w:right="49"/>
        <w:jc w:val="both"/>
        <w:rPr>
          <w:rFonts w:cs="Arial"/>
          <w:color w:val="000000" w:themeColor="text1"/>
          <w:szCs w:val="24"/>
          <w14:textFill>
            <w14:solidFill>
              <w14:schemeClr w14:val="tx1"/>
            </w14:solidFill>
          </w14:textFill>
        </w:rPr>
      </w:pPr>
      <w:bookmarkStart w:id="82" w:name="_Toc483228288"/>
    </w:p>
    <w:p w14:paraId="720D2AF8">
      <w:pPr>
        <w:numPr>
          <w:ilvl w:val="0"/>
          <w:numId w:val="21"/>
        </w:numPr>
        <w:spacing w:after="0"/>
        <w:ind w:left="142" w:right="49" w:firstLine="0"/>
        <w:jc w:val="both"/>
        <w:rPr>
          <w:rFonts w:cs="Arial"/>
          <w:color w:val="000000" w:themeColor="text1"/>
          <w:szCs w:val="24"/>
          <w14:textFill>
            <w14:solidFill>
              <w14:schemeClr w14:val="tx1"/>
            </w14:solidFill>
          </w14:textFill>
        </w:rPr>
      </w:pPr>
      <w:r>
        <w:rPr>
          <w:rStyle w:val="75"/>
          <w:rFonts w:ascii="Arial" w:hAnsi="Arial" w:cs="Arial" w:eastAsiaTheme="minorHAnsi"/>
          <w:b/>
          <w:bCs/>
          <w:color w:val="000000" w:themeColor="text1"/>
          <w:sz w:val="24"/>
          <w:szCs w:val="24"/>
          <w14:textFill>
            <w14:solidFill>
              <w14:schemeClr w14:val="tx1"/>
            </w14:solidFill>
          </w14:textFill>
        </w:rPr>
        <w:t>Consejo de Administración</w:t>
      </w:r>
      <w:bookmarkEnd w:id="82"/>
      <w:r>
        <w:rPr>
          <w:rStyle w:val="75"/>
          <w:rFonts w:ascii="Arial" w:hAnsi="Arial" w:cs="Arial" w:eastAsiaTheme="minorHAnsi"/>
          <w:b/>
          <w:bCs/>
          <w:color w:val="000000" w:themeColor="text1"/>
          <w:sz w:val="24"/>
          <w:szCs w:val="24"/>
          <w14:textFill>
            <w14:solidFill>
              <w14:schemeClr w14:val="tx1"/>
            </w14:solidFill>
          </w14:textFill>
        </w:rPr>
        <w:t>.</w:t>
      </w:r>
      <w:r>
        <w:rPr>
          <w:rFonts w:cs="Arial"/>
          <w:color w:val="000000" w:themeColor="text1"/>
          <w:szCs w:val="24"/>
          <w14:textFill>
            <w14:solidFill>
              <w14:schemeClr w14:val="tx1"/>
            </w14:solidFill>
          </w14:textFill>
        </w:rPr>
        <w:t xml:space="preserve"> Poseen facultad</w:t>
      </w:r>
      <w:r>
        <w:rPr>
          <w:rStyle w:val="73"/>
          <w:rFonts w:ascii="Arial" w:hAnsi="Arial" w:cs="Arial" w:eastAsiaTheme="minorHAnsi"/>
          <w:sz w:val="24"/>
          <w:szCs w:val="24"/>
        </w:rPr>
        <w:t xml:space="preserve"> </w:t>
      </w:r>
      <w:r>
        <w:rPr>
          <w:rFonts w:cs="Arial"/>
          <w:color w:val="000000" w:themeColor="text1"/>
          <w:szCs w:val="24"/>
          <w14:textFill>
            <w14:solidFill>
              <w14:schemeClr w14:val="tx1"/>
            </w14:solidFill>
          </w14:textFill>
        </w:rPr>
        <w:t xml:space="preserve">para aprobar créditos de más de 100 SMMLV. </w:t>
      </w:r>
    </w:p>
    <w:p w14:paraId="2C0A5E99">
      <w:pPr>
        <w:pStyle w:val="67"/>
        <w:rPr>
          <w:rFonts w:cs="Arial"/>
          <w:color w:val="000000" w:themeColor="text1"/>
          <w:szCs w:val="24"/>
          <w14:textFill>
            <w14:solidFill>
              <w14:schemeClr w14:val="tx1"/>
            </w14:solidFill>
          </w14:textFill>
        </w:rPr>
      </w:pPr>
    </w:p>
    <w:p w14:paraId="4D7F69CB">
      <w:pPr>
        <w:numPr>
          <w:ilvl w:val="0"/>
          <w:numId w:val="21"/>
        </w:numPr>
        <w:spacing w:after="0"/>
        <w:ind w:left="142" w:right="49" w:firstLine="0"/>
        <w:jc w:val="both"/>
        <w:rPr>
          <w:rFonts w:cs="Arial"/>
          <w:b/>
          <w:bCs/>
          <w:color w:val="000000" w:themeColor="text1"/>
          <w:szCs w:val="24"/>
          <w14:textFill>
            <w14:solidFill>
              <w14:schemeClr w14:val="tx1"/>
            </w14:solidFill>
          </w14:textFill>
        </w:rPr>
      </w:pPr>
      <w:r>
        <w:rPr>
          <w:rFonts w:cs="Arial"/>
          <w:b/>
          <w:bCs/>
          <w:color w:val="000000" w:themeColor="text1"/>
          <w:szCs w:val="24"/>
          <w14:textFill>
            <w14:solidFill>
              <w14:schemeClr w14:val="tx1"/>
            </w14:solidFill>
          </w14:textFill>
        </w:rPr>
        <w:t xml:space="preserve">Gerencia: </w:t>
      </w:r>
      <w:r>
        <w:rPr>
          <w:rFonts w:cs="Arial"/>
          <w:color w:val="000000" w:themeColor="text1"/>
          <w:szCs w:val="24"/>
          <w14:textFill>
            <w14:solidFill>
              <w14:schemeClr w14:val="tx1"/>
            </w14:solidFill>
          </w14:textFill>
        </w:rPr>
        <w:t>Tiene la faculta para aprobar créditos hasta 40 SMMLV.</w:t>
      </w:r>
    </w:p>
    <w:p w14:paraId="7E366135">
      <w:pPr>
        <w:spacing w:after="0"/>
        <w:ind w:left="142" w:right="49"/>
        <w:jc w:val="both"/>
        <w:rPr>
          <w:rFonts w:cs="Arial"/>
          <w:b/>
          <w:color w:val="000000" w:themeColor="text1"/>
          <w:szCs w:val="24"/>
          <w14:textFill>
            <w14:solidFill>
              <w14:schemeClr w14:val="tx1"/>
            </w14:solidFill>
          </w14:textFill>
        </w:rPr>
      </w:pPr>
    </w:p>
    <w:p w14:paraId="073C1B6E">
      <w:pPr>
        <w:pStyle w:val="67"/>
        <w:spacing w:after="0"/>
        <w:ind w:left="142" w:right="49"/>
        <w:jc w:val="both"/>
        <w:rPr>
          <w:rFonts w:cs="Arial"/>
          <w:color w:val="000000" w:themeColor="text1"/>
          <w:szCs w:val="24"/>
          <w14:textFill>
            <w14:solidFill>
              <w14:schemeClr w14:val="tx1"/>
            </w14:solidFill>
          </w14:textFill>
        </w:rPr>
      </w:pPr>
      <w:r>
        <w:rPr>
          <w:rFonts w:cs="Arial"/>
          <w:bCs/>
          <w:color w:val="000000" w:themeColor="text1"/>
          <w:szCs w:val="24"/>
          <w14:textFill>
            <w14:solidFill>
              <w14:schemeClr w14:val="tx1"/>
            </w14:solidFill>
          </w14:textFill>
        </w:rPr>
        <w:t>N</w:t>
      </w:r>
      <w:r>
        <w:rPr>
          <w:rFonts w:cs="Arial"/>
          <w:color w:val="000000" w:themeColor="text1"/>
          <w:szCs w:val="24"/>
          <w14:textFill>
            <w14:solidFill>
              <w14:schemeClr w14:val="tx1"/>
            </w14:solidFill>
          </w14:textFill>
        </w:rPr>
        <w:t>ingún funcionario podrá diligenciar un crédito para su beneficio o de un familiar, en estos casos otro funcionario deberá hacer la gestión desde la solicitud hasta el desembolso y la persona encargada de las solicitudes de crédito, deberá informar a la gerencia general de los funcionarios que han solicitado créditos cada mes en COOPCALLEJONA.</w:t>
      </w:r>
    </w:p>
    <w:p w14:paraId="3A99DCDE">
      <w:pPr>
        <w:pStyle w:val="67"/>
        <w:spacing w:after="0"/>
        <w:ind w:left="142" w:right="49"/>
        <w:jc w:val="both"/>
        <w:rPr>
          <w:rFonts w:cs="Arial"/>
          <w:color w:val="000000" w:themeColor="text1"/>
          <w:szCs w:val="24"/>
          <w14:textFill>
            <w14:solidFill>
              <w14:schemeClr w14:val="tx1"/>
            </w14:solidFill>
          </w14:textFill>
        </w:rPr>
      </w:pPr>
    </w:p>
    <w:p w14:paraId="27F4F11A">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El Consejo de administración será el ente que estudiará las reestructuraciones de Crédito solicitadas por los asociados.   </w:t>
      </w:r>
    </w:p>
    <w:p w14:paraId="7AD23760">
      <w:pPr>
        <w:spacing w:after="0"/>
        <w:ind w:left="142" w:right="49"/>
        <w:jc w:val="both"/>
        <w:rPr>
          <w:rFonts w:cs="Arial"/>
          <w:color w:val="000000" w:themeColor="text1"/>
          <w:szCs w:val="24"/>
          <w14:textFill>
            <w14:solidFill>
              <w14:schemeClr w14:val="tx1"/>
            </w14:solidFill>
          </w14:textFill>
        </w:rPr>
      </w:pPr>
      <w:bookmarkStart w:id="83" w:name="_Toc483228289"/>
      <w:r>
        <w:rPr>
          <w:rFonts w:cs="Arial"/>
          <w:b/>
          <w:color w:val="000000" w:themeColor="text1"/>
          <w:szCs w:val="24"/>
          <w14:textFill>
            <w14:solidFill>
              <w14:schemeClr w14:val="tx1"/>
            </w14:solidFill>
          </w14:textFill>
        </w:rPr>
        <w:t>Operaciones con Privilegiados</w:t>
      </w:r>
      <w:bookmarkEnd w:id="83"/>
      <w:r>
        <w:rPr>
          <w:rFonts w:cs="Arial"/>
          <w:b/>
          <w:color w:val="000000" w:themeColor="text1"/>
          <w:szCs w:val="24"/>
          <w14:textFill>
            <w14:solidFill>
              <w14:schemeClr w14:val="tx1"/>
            </w14:solidFill>
          </w14:textFill>
        </w:rPr>
        <w:t xml:space="preserve">, </w:t>
      </w:r>
      <w:r>
        <w:rPr>
          <w:rFonts w:cs="Arial"/>
          <w:color w:val="000000" w:themeColor="text1"/>
          <w:szCs w:val="24"/>
          <w14:textFill>
            <w14:solidFill>
              <w14:schemeClr w14:val="tx1"/>
            </w14:solidFill>
          </w14:textFill>
        </w:rPr>
        <w:t>son las operaciones de crédito realizadas con personas o entidades privilegiadas las cuales además requerirán de un número de votos favorables, que en ningún caso resulte inferior a las cuatro quintas (4/5) partes de la composición del Consejo de Administración, de acuerdo a lo establecido en la norma.</w:t>
      </w:r>
    </w:p>
    <w:p w14:paraId="6DA36245">
      <w:pPr>
        <w:spacing w:after="0"/>
        <w:ind w:left="142" w:right="49"/>
        <w:jc w:val="both"/>
        <w:rPr>
          <w:rFonts w:cs="Arial"/>
          <w:color w:val="000000" w:themeColor="text1"/>
          <w:szCs w:val="24"/>
          <w14:textFill>
            <w14:solidFill>
              <w14:schemeClr w14:val="tx1"/>
            </w14:solidFill>
          </w14:textFill>
        </w:rPr>
      </w:pPr>
    </w:p>
    <w:p w14:paraId="2FFDEFC5">
      <w:pPr>
        <w:pStyle w:val="4"/>
      </w:pPr>
      <w:bookmarkStart w:id="84" w:name="_Toc151443594"/>
      <w:bookmarkStart w:id="85" w:name="_Toc182642816"/>
      <w:r>
        <w:t>6.7.2 Niveles De Atribución para la Normalización de Cartera:</w:t>
      </w:r>
      <w:bookmarkEnd w:id="84"/>
      <w:bookmarkEnd w:id="85"/>
    </w:p>
    <w:p w14:paraId="3BE43866">
      <w:pPr>
        <w:ind w:left="142" w:right="49"/>
        <w:jc w:val="both"/>
        <w:rPr>
          <w:rFonts w:cs="Arial"/>
          <w:color w:val="000000" w:themeColor="text1"/>
          <w:szCs w:val="24"/>
          <w14:textFill>
            <w14:solidFill>
              <w14:schemeClr w14:val="tx1"/>
            </w14:solidFill>
          </w14:textFill>
        </w:rPr>
      </w:pPr>
    </w:p>
    <w:p w14:paraId="3D54871C">
      <w:pPr>
        <w:ind w:left="142" w:right="49"/>
        <w:jc w:val="both"/>
        <w:rPr>
          <w:rFonts w:cs="Arial"/>
          <w:color w:val="000000" w:themeColor="text1"/>
          <w:szCs w:val="24"/>
          <w14:textFill>
            <w14:solidFill>
              <w14:schemeClr w14:val="tx1"/>
            </w14:solidFill>
          </w14:textFill>
        </w:rPr>
      </w:pPr>
      <w:r>
        <w:rPr>
          <w:rFonts w:cs="Arial"/>
          <w:b/>
          <w:color w:val="000000" w:themeColor="text1"/>
          <w:szCs w:val="24"/>
          <w:u w:val="single"/>
          <w14:textFill>
            <w14:solidFill>
              <w14:schemeClr w14:val="tx1"/>
            </w14:solidFill>
          </w14:textFill>
        </w:rPr>
        <w:t xml:space="preserve">1. Consejo de Administración </w:t>
      </w:r>
    </w:p>
    <w:p w14:paraId="6ECFFFC8">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El Consejo de Administración está facultado para exonerar hasta el 100% de los intereses, otros conceptos y condonar capital cuando las posibilidades de recuperación sean mínimas. En todo caso, se deberá presentar las explicaciones por parte del abogado que adelanta la cobranza, así como por el auxiliar de crédito y cartera y la Gerencia.</w:t>
      </w:r>
    </w:p>
    <w:p w14:paraId="3C9487DA">
      <w:pPr>
        <w:ind w:left="142" w:right="49"/>
        <w:jc w:val="both"/>
        <w:rPr>
          <w:rFonts w:cs="Arial"/>
          <w:bCs/>
          <w:color w:val="000000" w:themeColor="text1"/>
          <w:szCs w:val="24"/>
          <w14:textFill>
            <w14:solidFill>
              <w14:schemeClr w14:val="tx1"/>
            </w14:solidFill>
          </w14:textFill>
        </w:rPr>
      </w:pPr>
      <w:r>
        <w:rPr>
          <w:rFonts w:cs="Arial"/>
          <w:bCs/>
          <w:color w:val="000000" w:themeColor="text1"/>
          <w:szCs w:val="24"/>
          <w14:textFill>
            <w14:solidFill>
              <w14:schemeClr w14:val="tx1"/>
            </w14:solidFill>
          </w14:textFill>
        </w:rPr>
        <w:t>La gerencia general podrá diseñar estrategias para la normalización de cartera y las mismas deberán ser aprobadas por el Consejo de Administración.</w:t>
      </w:r>
    </w:p>
    <w:p w14:paraId="292C9B20">
      <w:pPr>
        <w:pStyle w:val="3"/>
      </w:pPr>
      <w:bookmarkStart w:id="86" w:name="_Toc151443595"/>
      <w:bookmarkStart w:id="87" w:name="_Toc182642817"/>
      <w:r>
        <w:t>Estrategia Comercial Y Segmentos De Mercado:</w:t>
      </w:r>
      <w:bookmarkEnd w:id="86"/>
      <w:bookmarkEnd w:id="87"/>
      <w:r>
        <w:t xml:space="preserve"> </w:t>
      </w:r>
    </w:p>
    <w:p w14:paraId="2F47E7CD">
      <w:pPr>
        <w:ind w:left="142" w:right="49"/>
        <w:jc w:val="both"/>
        <w:rPr>
          <w:rFonts w:cs="Arial"/>
          <w:color w:val="000000" w:themeColor="text1"/>
          <w:szCs w:val="24"/>
          <w:lang w:val="es-ES" w:eastAsia="es-ES" w:bidi="en-US"/>
          <w14:textFill>
            <w14:solidFill>
              <w14:schemeClr w14:val="tx1"/>
            </w14:solidFill>
          </w14:textFill>
        </w:rPr>
      </w:pPr>
    </w:p>
    <w:p w14:paraId="749480C1">
      <w:pPr>
        <w:pStyle w:val="4"/>
      </w:pPr>
      <w:bookmarkStart w:id="88" w:name="_Toc77147484"/>
      <w:bookmarkStart w:id="89" w:name="_Toc151443596"/>
      <w:bookmarkStart w:id="90" w:name="_Toc182642818"/>
      <w:r>
        <w:t>6.8.1 Estrategia Comercial</w:t>
      </w:r>
      <w:bookmarkEnd w:id="88"/>
      <w:bookmarkEnd w:id="89"/>
      <w:bookmarkEnd w:id="90"/>
      <w:r>
        <w:t xml:space="preserve"> </w:t>
      </w:r>
    </w:p>
    <w:p w14:paraId="001C71CA">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COOPCALLEJONA orienta su estrategia al manejo de productos de crédito genéricos por nichos de mercado, estos productos, están orientados principalmente a actividades de consumo.</w:t>
      </w:r>
    </w:p>
    <w:p w14:paraId="5E4607A8">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En cuanto al nicho de mercado la entidad puede manejar la colocación en el segmento de Personas Jurídicas y de Personas Naturales, sin embargo, la colocación en entidades jurídicas no es un nicho estratégico para la entidad.</w:t>
      </w:r>
    </w:p>
    <w:p w14:paraId="3FA0977E">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Los productos de crédito se comercializan en función de la localidad, lo que permiten al asociado acceder a productos de acuerdo con su necesidad de financiamiento. </w:t>
      </w:r>
    </w:p>
    <w:p w14:paraId="0EE08E60">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Las actividades comerciales tendrán las siguientes obligaciones:</w:t>
      </w:r>
    </w:p>
    <w:p w14:paraId="57C2A4EF">
      <w:pPr>
        <w:pStyle w:val="67"/>
        <w:numPr>
          <w:ilvl w:val="0"/>
          <w:numId w:val="22"/>
        </w:numPr>
        <w:spacing w:after="0" w:line="240" w:lineRule="auto"/>
        <w:ind w:left="567" w:right="49" w:hanging="425"/>
        <w:jc w:val="both"/>
        <w:rPr>
          <w:rFonts w:cs="Arial"/>
          <w:strike/>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Promover la ampliación de las operaciones de manera estratégica con base en las necesidades de los asociados.</w:t>
      </w:r>
    </w:p>
    <w:p w14:paraId="613E372B">
      <w:pPr>
        <w:pStyle w:val="67"/>
        <w:spacing w:after="0" w:line="240" w:lineRule="auto"/>
        <w:ind w:left="567" w:right="49" w:hanging="425"/>
        <w:jc w:val="both"/>
        <w:rPr>
          <w:rFonts w:cs="Arial"/>
          <w:strike/>
          <w:color w:val="000000" w:themeColor="text1"/>
          <w:szCs w:val="24"/>
          <w14:textFill>
            <w14:solidFill>
              <w14:schemeClr w14:val="tx1"/>
            </w14:solidFill>
          </w14:textFill>
        </w:rPr>
      </w:pPr>
    </w:p>
    <w:p w14:paraId="2AD75E5D">
      <w:pPr>
        <w:pStyle w:val="67"/>
        <w:numPr>
          <w:ilvl w:val="0"/>
          <w:numId w:val="22"/>
        </w:numPr>
        <w:spacing w:after="0" w:line="240" w:lineRule="auto"/>
        <w:ind w:left="567" w:right="49" w:hanging="425"/>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Utilizar los medios de comunicación y divulgación que impacten de la mejor manera el mercado objetivo. </w:t>
      </w:r>
    </w:p>
    <w:p w14:paraId="234BE549">
      <w:pPr>
        <w:pStyle w:val="67"/>
        <w:spacing w:after="0" w:line="240" w:lineRule="auto"/>
        <w:ind w:left="567" w:right="49" w:hanging="425"/>
        <w:jc w:val="both"/>
        <w:rPr>
          <w:rFonts w:cs="Arial"/>
          <w:color w:val="000000" w:themeColor="text1"/>
          <w:szCs w:val="24"/>
          <w14:textFill>
            <w14:solidFill>
              <w14:schemeClr w14:val="tx1"/>
            </w14:solidFill>
          </w14:textFill>
        </w:rPr>
      </w:pPr>
    </w:p>
    <w:p w14:paraId="31A7F0A5">
      <w:pPr>
        <w:pStyle w:val="67"/>
        <w:numPr>
          <w:ilvl w:val="0"/>
          <w:numId w:val="22"/>
        </w:numPr>
        <w:spacing w:after="0" w:line="240" w:lineRule="auto"/>
        <w:ind w:left="567" w:right="49" w:hanging="425"/>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Realizar seguimiento a la colocación de manera que asegure un impacto positivo de los productos en los estados financieros de la Entidad.</w:t>
      </w:r>
    </w:p>
    <w:p w14:paraId="12C7BC97">
      <w:pPr>
        <w:pStyle w:val="67"/>
        <w:spacing w:after="0" w:line="240" w:lineRule="auto"/>
        <w:ind w:left="567" w:right="49" w:hanging="425"/>
        <w:jc w:val="both"/>
        <w:rPr>
          <w:rFonts w:cs="Arial"/>
          <w:color w:val="000000" w:themeColor="text1"/>
          <w:szCs w:val="24"/>
          <w14:textFill>
            <w14:solidFill>
              <w14:schemeClr w14:val="tx1"/>
            </w14:solidFill>
          </w14:textFill>
        </w:rPr>
      </w:pPr>
    </w:p>
    <w:p w14:paraId="139AADBF">
      <w:pPr>
        <w:pStyle w:val="67"/>
        <w:numPr>
          <w:ilvl w:val="0"/>
          <w:numId w:val="22"/>
        </w:numPr>
        <w:spacing w:after="0" w:line="240" w:lineRule="auto"/>
        <w:ind w:left="567" w:right="49" w:hanging="425"/>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Afianzar las alianzas estratégicas para generar valor agregado a la estructura financiera de la entidad y a la satisfacción del asociado.</w:t>
      </w:r>
    </w:p>
    <w:p w14:paraId="30083767">
      <w:pPr>
        <w:spacing w:after="0" w:line="240" w:lineRule="auto"/>
        <w:ind w:left="567" w:right="49" w:hanging="425"/>
        <w:jc w:val="both"/>
        <w:rPr>
          <w:rFonts w:cs="Arial"/>
          <w:color w:val="000000" w:themeColor="text1"/>
          <w:szCs w:val="24"/>
          <w:highlight w:val="lightGray"/>
          <w14:textFill>
            <w14:solidFill>
              <w14:schemeClr w14:val="tx1"/>
            </w14:solidFill>
          </w14:textFill>
        </w:rPr>
      </w:pPr>
    </w:p>
    <w:p w14:paraId="46423B0A">
      <w:pPr>
        <w:pStyle w:val="67"/>
        <w:numPr>
          <w:ilvl w:val="0"/>
          <w:numId w:val="23"/>
        </w:numPr>
        <w:spacing w:after="0" w:line="240" w:lineRule="auto"/>
        <w:ind w:left="567" w:right="49" w:hanging="425"/>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Promover la mejora de los procesos de colocación buscando la mayor agilidad y calidad del servicio. </w:t>
      </w:r>
    </w:p>
    <w:p w14:paraId="75DFD98D">
      <w:pPr>
        <w:pStyle w:val="67"/>
        <w:spacing w:after="0" w:line="240" w:lineRule="auto"/>
        <w:ind w:left="567" w:right="49"/>
        <w:jc w:val="both"/>
        <w:rPr>
          <w:rFonts w:cs="Arial"/>
          <w:color w:val="000000" w:themeColor="text1"/>
          <w:szCs w:val="24"/>
          <w14:textFill>
            <w14:solidFill>
              <w14:schemeClr w14:val="tx1"/>
            </w14:solidFill>
          </w14:textFill>
        </w:rPr>
      </w:pPr>
    </w:p>
    <w:p w14:paraId="27A9FE25">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Igualmente, con el fin de optimizar los recursos y lograr una mayor rentabilidad la entidad podrá diseñar campañas temporales de colocación de créditos, las cuales deberán ser previamente aprobadas por el Consejo de Administración.</w:t>
      </w:r>
    </w:p>
    <w:p w14:paraId="3F879819">
      <w:pPr>
        <w:pStyle w:val="4"/>
      </w:pPr>
      <w:bookmarkStart w:id="91" w:name="_Toc4738467"/>
      <w:bookmarkStart w:id="92" w:name="_Toc418754882"/>
      <w:bookmarkStart w:id="93" w:name="_Toc419106508"/>
      <w:bookmarkStart w:id="94" w:name="_Toc167875499"/>
      <w:bookmarkStart w:id="95" w:name="_Toc151443597"/>
      <w:bookmarkStart w:id="96" w:name="_Toc170552818"/>
      <w:bookmarkStart w:id="97" w:name="_Toc182642819"/>
      <w:bookmarkStart w:id="98" w:name="_Toc167872505"/>
      <w:bookmarkStart w:id="99" w:name="_Toc77147485"/>
      <w:r>
        <w:t>6.8.2 Segmentos</w:t>
      </w:r>
      <w:bookmarkEnd w:id="91"/>
      <w:bookmarkEnd w:id="92"/>
      <w:bookmarkEnd w:id="93"/>
      <w:r>
        <w:t xml:space="preserve"> de Mercado</w:t>
      </w:r>
      <w:bookmarkEnd w:id="94"/>
      <w:bookmarkEnd w:id="95"/>
      <w:bookmarkEnd w:id="96"/>
      <w:bookmarkEnd w:id="97"/>
      <w:bookmarkEnd w:id="98"/>
      <w:bookmarkEnd w:id="99"/>
    </w:p>
    <w:p w14:paraId="4FE2DBEF">
      <w:pPr>
        <w:rPr>
          <w:rFonts w:cs="Arial"/>
          <w:szCs w:val="24"/>
          <w:lang w:val="es-MX" w:eastAsia="es-CO"/>
        </w:rPr>
      </w:pPr>
    </w:p>
    <w:p w14:paraId="4D1C4C65">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De acuerdo con los Estatutos de la entidad podrán tener acceso al crédito a través de las diferentes líneas, las personas naturales y jurídicas asociadas a la cooperativa.</w:t>
      </w:r>
    </w:p>
    <w:p w14:paraId="51ABA019">
      <w:pPr>
        <w:ind w:left="142" w:right="49"/>
        <w:jc w:val="both"/>
        <w:rPr>
          <w:rFonts w:cs="Arial"/>
          <w:b/>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NO se financiarán proyectos en los cuales se coloque en riesgo los intereses de la cooperativa y NO apoyará proyectos en los cuales se evidencie o se tenga la probabilidad de incurrir en riesgo de lavado de activos.</w:t>
      </w:r>
    </w:p>
    <w:p w14:paraId="4029BE04">
      <w:pPr>
        <w:pStyle w:val="3"/>
      </w:pPr>
      <w:bookmarkStart w:id="100" w:name="_Toc182642820"/>
      <w:bookmarkStart w:id="101" w:name="_Toc151443598"/>
      <w:r>
        <w:t>Nuevos Productos O Segmentos De Mercado:</w:t>
      </w:r>
      <w:bookmarkEnd w:id="100"/>
      <w:bookmarkEnd w:id="101"/>
      <w:r>
        <w:t xml:space="preserve"> </w:t>
      </w:r>
    </w:p>
    <w:p w14:paraId="1C6B7E9D">
      <w:pPr>
        <w:pStyle w:val="67"/>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La aprobación de nuevos productos y servicios estará a cargo del Consejo de Administración, acorde con la propuesta que le presente la Gerencia General la cual, a su vez deberá haber sido evaluada y analizada en el comité de riesgos.</w:t>
      </w:r>
    </w:p>
    <w:p w14:paraId="62E51ABC">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Siempre que la Cooperativa como parte de su plan de negocios considere la implementación de un nuevo producto, servicio o segmento de mercado, se deben analizar los factores y posibles nuevos eventos de riesgos de lavado de activos y financiación del terrorismo, crédito, liquidez, mercado, operacionales, incluyendo dentro de estos últimos los riesgos legales o jurídicos, para lo cual deberá tener en cuenta lo siguiente: </w:t>
      </w:r>
    </w:p>
    <w:p w14:paraId="0A3F8600">
      <w:pPr>
        <w:pStyle w:val="67"/>
        <w:numPr>
          <w:ilvl w:val="0"/>
          <w:numId w:val="24"/>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Análisis de la información básica a cerca del nuevo mercado o producto, conociendo las características de este y el entorno económico en el cual se desempeñará.</w:t>
      </w:r>
    </w:p>
    <w:p w14:paraId="42047076">
      <w:pPr>
        <w:pStyle w:val="67"/>
        <w:numPr>
          <w:ilvl w:val="0"/>
          <w:numId w:val="24"/>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Evaluación de las condiciones actuales del mercado potencial.</w:t>
      </w:r>
    </w:p>
    <w:p w14:paraId="3F5B3D21">
      <w:pPr>
        <w:pStyle w:val="67"/>
        <w:numPr>
          <w:ilvl w:val="0"/>
          <w:numId w:val="24"/>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Evaluación y análisis de las proyecciones financieras frente al producto o mercado nuevo.</w:t>
      </w:r>
    </w:p>
    <w:p w14:paraId="2A44E1CC">
      <w:pPr>
        <w:pStyle w:val="67"/>
        <w:numPr>
          <w:ilvl w:val="0"/>
          <w:numId w:val="24"/>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Identificación de los factores y posibles eventos que pueden generar: Riesgo de liquidez, Riesgo de Crédito, Riesgo Operativo o Riesgo de Lavado de Activos y Financiación del Terrorismo, según aplique.</w:t>
      </w:r>
    </w:p>
    <w:p w14:paraId="2F971B8A">
      <w:pPr>
        <w:pStyle w:val="67"/>
        <w:numPr>
          <w:ilvl w:val="0"/>
          <w:numId w:val="24"/>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Verificación del posible impacto sobre la medición de los riesgos, si es el caso</w:t>
      </w:r>
    </w:p>
    <w:p w14:paraId="53083B19">
      <w:pPr>
        <w:pStyle w:val="67"/>
        <w:numPr>
          <w:ilvl w:val="0"/>
          <w:numId w:val="24"/>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Evaluación de posibles ajustes sobre políticas o límites y/o señales de alerta.</w:t>
      </w:r>
    </w:p>
    <w:p w14:paraId="7DD0103C">
      <w:pPr>
        <w:pStyle w:val="67"/>
        <w:numPr>
          <w:ilvl w:val="0"/>
          <w:numId w:val="24"/>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Evaluación de ajustes a las herramientas tecnológicas.</w:t>
      </w:r>
    </w:p>
    <w:p w14:paraId="320BCC0D">
      <w:pPr>
        <w:pStyle w:val="67"/>
        <w:numPr>
          <w:ilvl w:val="0"/>
          <w:numId w:val="24"/>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Evaluación de ajustes y novedades en formatos de transmisión a la SES y/u organismos externos.</w:t>
      </w:r>
    </w:p>
    <w:p w14:paraId="099FEB1D">
      <w:pPr>
        <w:pStyle w:val="67"/>
        <w:numPr>
          <w:ilvl w:val="0"/>
          <w:numId w:val="24"/>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Evaluación de posible modificación o creación de procedimientos</w:t>
      </w:r>
    </w:p>
    <w:p w14:paraId="570B6996">
      <w:pPr>
        <w:pStyle w:val="67"/>
        <w:numPr>
          <w:ilvl w:val="0"/>
          <w:numId w:val="24"/>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Capacitación sobre nuevas normas o procedimientos a los funcionarios</w:t>
      </w:r>
    </w:p>
    <w:p w14:paraId="6BDE8637">
      <w:pPr>
        <w:pStyle w:val="67"/>
        <w:numPr>
          <w:ilvl w:val="0"/>
          <w:numId w:val="24"/>
        </w:numPr>
        <w:spacing w:after="0" w:line="240" w:lineRule="auto"/>
        <w:ind w:left="426" w:right="49" w:hanging="284"/>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Desarrollo de actividades de pruebas “Marcha Blanca”, con el fin de garantizar el adecuado desarrollo de los procesos para la puesta en producción masiva.</w:t>
      </w:r>
    </w:p>
    <w:p w14:paraId="52CFED4E">
      <w:pPr>
        <w:spacing w:after="0" w:line="240" w:lineRule="auto"/>
        <w:ind w:left="142" w:right="49"/>
        <w:jc w:val="both"/>
        <w:rPr>
          <w:rFonts w:cs="Arial"/>
          <w:color w:val="000000" w:themeColor="text1"/>
          <w:szCs w:val="24"/>
          <w14:textFill>
            <w14:solidFill>
              <w14:schemeClr w14:val="tx1"/>
            </w14:solidFill>
          </w14:textFill>
        </w:rPr>
      </w:pPr>
    </w:p>
    <w:p w14:paraId="0DCFB6F6">
      <w:pPr>
        <w:spacing w:after="0" w:line="240" w:lineRule="auto"/>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La Gerencia General debe garantizar que la operación en nuevos mercados o productos solamente comience una vez haya concluido satisfactoriamente la etapa de prueba y que las instancias competentes hayan dado su aprobación y se disponga del personal calificado e idóneo y de los procedimientos internos de identificación, registro, valoración, medición, monitoreo y control de los riesgos identificados</w:t>
      </w:r>
    </w:p>
    <w:p w14:paraId="74AAA4E0">
      <w:pPr>
        <w:pStyle w:val="3"/>
      </w:pPr>
      <w:r>
        <w:t xml:space="preserve"> </w:t>
      </w:r>
      <w:bookmarkStart w:id="102" w:name="_Toc182642821"/>
      <w:bookmarkStart w:id="103" w:name="_Toc151443599"/>
      <w:r>
        <w:t>Límites De Exposición:</w:t>
      </w:r>
      <w:bookmarkEnd w:id="102"/>
      <w:bookmarkEnd w:id="103"/>
      <w:r>
        <w:t xml:space="preserve"> </w:t>
      </w:r>
    </w:p>
    <w:p w14:paraId="51841757">
      <w:pPr>
        <w:ind w:left="142" w:right="49"/>
        <w:jc w:val="both"/>
        <w:rPr>
          <w:rFonts w:cs="Arial"/>
          <w:color w:val="000000" w:themeColor="text1"/>
          <w:szCs w:val="24"/>
          <w:lang w:val="es-ES" w:eastAsia="es-ES" w:bidi="en-US"/>
          <w14:textFill>
            <w14:solidFill>
              <w14:schemeClr w14:val="tx1"/>
            </w14:solidFill>
          </w14:textFill>
        </w:rPr>
      </w:pPr>
      <w:r>
        <w:rPr>
          <w:rFonts w:cs="Arial"/>
          <w:color w:val="000000" w:themeColor="text1"/>
          <w:szCs w:val="24"/>
          <w:lang w:val="es-ES" w:eastAsia="es-ES" w:bidi="en-US"/>
          <w14:textFill>
            <w14:solidFill>
              <w14:schemeClr w14:val="tx1"/>
            </w14:solidFill>
          </w14:textFill>
        </w:rPr>
        <w:t>Los limites deberán ser diseñados por el encargado de Riesgos y presentados al comité de riesgos para su evaluación y recomendación al consejo de Administración para su aprobación.</w:t>
      </w:r>
    </w:p>
    <w:p w14:paraId="53804915">
      <w:pPr>
        <w:pStyle w:val="4"/>
      </w:pPr>
      <w:bookmarkStart w:id="104" w:name="_Toc151443600"/>
      <w:bookmarkStart w:id="105" w:name="_Toc182642822"/>
      <w:r>
        <w:t>6.10.1 Límites Legales individuales de endeudamiento</w:t>
      </w:r>
      <w:bookmarkEnd w:id="104"/>
      <w:bookmarkEnd w:id="105"/>
    </w:p>
    <w:p w14:paraId="7B809AB8">
      <w:pPr>
        <w:tabs>
          <w:tab w:val="left" w:pos="0"/>
        </w:tabs>
        <w:overflowPunct w:val="0"/>
        <w:autoSpaceDE w:val="0"/>
        <w:autoSpaceDN w:val="0"/>
        <w:adjustRightInd w:val="0"/>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Según lo establecido en el Decreto 1068 de 2015:</w:t>
      </w:r>
    </w:p>
    <w:p w14:paraId="0FBC7ADC">
      <w:pPr>
        <w:tabs>
          <w:tab w:val="left" w:pos="0"/>
        </w:tabs>
        <w:overflowPunct w:val="0"/>
        <w:autoSpaceDE w:val="0"/>
        <w:autoSpaceDN w:val="0"/>
        <w:adjustRightInd w:val="0"/>
        <w:ind w:left="142" w:right="49"/>
        <w:jc w:val="both"/>
        <w:rPr>
          <w:rFonts w:cs="Arial"/>
          <w:color w:val="000000" w:themeColor="text1"/>
          <w:szCs w:val="24"/>
          <w:u w:val="single"/>
          <w14:textFill>
            <w14:solidFill>
              <w14:schemeClr w14:val="tx1"/>
            </w14:solidFill>
          </w14:textFill>
        </w:rPr>
      </w:pPr>
      <w:r>
        <w:rPr>
          <w:rFonts w:cs="Arial"/>
          <w:color w:val="000000" w:themeColor="text1"/>
          <w:szCs w:val="24"/>
          <w14:textFill>
            <w14:solidFill>
              <w14:schemeClr w14:val="tx1"/>
            </w14:solidFill>
          </w14:textFill>
        </w:rPr>
        <w:t>“</w:t>
      </w:r>
      <w:r>
        <w:rPr>
          <w:rFonts w:cs="Arial"/>
          <w:color w:val="000000" w:themeColor="text1"/>
          <w:szCs w:val="24"/>
          <w:u w:val="single"/>
          <w14:textFill>
            <w14:solidFill>
              <w14:schemeClr w14:val="tx1"/>
            </w14:solidFill>
          </w14:textFill>
        </w:rPr>
        <w:t>ARTÍCULO 2.11.10.2.1. Cuantía máxima del cupo individual. Ninguna de las cooperativas a que se refiere el presente decreto podrá realizar con una misma persona natural o jurídica, directa o indirectamente, operaciones activas de crédito, que conjunta o separadamente excedan del diez por ciento (10%) del patrimonio técnico de la entidad, si la única garantía de la operación es el patrimonio del deudor. Sin embargo, cuando las operaciones respectivas cuenten con garantías o seguridades admisibles suficientes, las operaciones de que trata el presente artículo pueden alcanzar hasta el veinte por ciento (20%) del patrimonio técnico de la entidad”.</w:t>
      </w:r>
    </w:p>
    <w:p w14:paraId="4CC200B2">
      <w:pPr>
        <w:tabs>
          <w:tab w:val="left" w:pos="0"/>
        </w:tabs>
        <w:overflowPunct w:val="0"/>
        <w:autoSpaceDE w:val="0"/>
        <w:autoSpaceDN w:val="0"/>
        <w:adjustRightInd w:val="0"/>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Por lo anterior COOPCALLEJONA aplicará y respetará los limites ya mencionados </w:t>
      </w:r>
    </w:p>
    <w:p w14:paraId="49A17E09">
      <w:pPr>
        <w:tabs>
          <w:tab w:val="left" w:pos="513"/>
        </w:tabs>
        <w:overflowPunct w:val="0"/>
        <w:autoSpaceDE w:val="0"/>
        <w:autoSpaceDN w:val="0"/>
        <w:adjustRightInd w:val="0"/>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Las concentraciones individuales que superen el diez por ciento (10%) del patrimonio técnico, independientemente del tipo de garantía, deberán ser informadas mensualmente por el Gerente General al Consejo de Administración, que actuará de manera independiente y exclusivamente bajo el cumplimiento de las funciones que le competen a este órgano. </w:t>
      </w:r>
    </w:p>
    <w:p w14:paraId="536D0326">
      <w:pPr>
        <w:tabs>
          <w:tab w:val="left" w:pos="513"/>
        </w:tabs>
        <w:overflowPunct w:val="0"/>
        <w:autoSpaceDE w:val="0"/>
        <w:autoSpaceDN w:val="0"/>
        <w:adjustRightInd w:val="0"/>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Con la misma periodicidad, la Gerencia General deberá informar las clases y montos de las garantías vigentes para la operación, prórrogas, renovaciones o refinanciaciones de las obligaciones que constituyen la concentración del riesgo.</w:t>
      </w:r>
    </w:p>
    <w:p w14:paraId="181EA784">
      <w:pPr>
        <w:tabs>
          <w:tab w:val="left" w:pos="513"/>
        </w:tabs>
        <w:overflowPunct w:val="0"/>
        <w:autoSpaceDE w:val="0"/>
        <w:autoSpaceDN w:val="0"/>
        <w:adjustRightInd w:val="0"/>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COOPCALLEJONA, estará sujeta a las demás disposiciones contenidas </w:t>
      </w:r>
      <w:bookmarkStart w:id="106" w:name="_Hlk70350554"/>
      <w:r>
        <w:rPr>
          <w:rFonts w:cs="Arial"/>
          <w:color w:val="000000" w:themeColor="text1"/>
          <w:szCs w:val="24"/>
          <w14:textFill>
            <w14:solidFill>
              <w14:schemeClr w14:val="tx1"/>
            </w14:solidFill>
          </w14:textFill>
        </w:rPr>
        <w:t xml:space="preserve">en los Títulos 2 y 3 del, Libro 1, de la Parte 2, del Decreto 2555 de 2010 y </w:t>
      </w:r>
      <w:bookmarkEnd w:id="106"/>
      <w:r>
        <w:rPr>
          <w:rFonts w:cs="Arial"/>
          <w:color w:val="000000" w:themeColor="text1"/>
          <w:szCs w:val="24"/>
          <w14:textFill>
            <w14:solidFill>
              <w14:schemeClr w14:val="tx1"/>
            </w14:solidFill>
          </w14:textFill>
        </w:rPr>
        <w:t>las normas que lo modifiquen, adicionen o complementen, particularmente las relacionadas con garantías admisibles, clases de garantías o seguridades admisibles, garantías no admisibles, operaciones computables, operaciones que se entienden realizadas con una misma persona jurídica, acumulación de personas naturales y los límites de concentración de riesgos.</w:t>
      </w:r>
    </w:p>
    <w:p w14:paraId="6B0D3D34">
      <w:pPr>
        <w:spacing w:after="0" w:line="254" w:lineRule="atLeast"/>
        <w:ind w:left="142" w:right="49"/>
        <w:jc w:val="both"/>
        <w:rPr>
          <w:rFonts w:eastAsia="Times New Roman" w:cs="Arial"/>
          <w:color w:val="000000" w:themeColor="text1"/>
          <w:szCs w:val="24"/>
          <w:u w:val="single"/>
          <w:lang w:eastAsia="es-CO"/>
          <w14:textFill>
            <w14:solidFill>
              <w14:schemeClr w14:val="tx1"/>
            </w14:solidFill>
          </w14:textFill>
        </w:rPr>
      </w:pPr>
      <w:r>
        <w:rPr>
          <w:rFonts w:eastAsia="Times New Roman" w:cs="Arial"/>
          <w:b/>
          <w:bCs/>
          <w:color w:val="000000" w:themeColor="text1"/>
          <w:szCs w:val="24"/>
          <w:u w:val="single"/>
          <w:lang w:eastAsia="es-CO"/>
          <w14:textFill>
            <w14:solidFill>
              <w14:schemeClr w14:val="tx1"/>
            </w14:solidFill>
          </w14:textFill>
        </w:rPr>
        <w:t>“Artículo 2.1.2.1.10 Capítulo I Titulo 2 Libro 1 Parte 2 del Decreto 2555 de 2010 Operaciones que se entienden realizadas con una misma persona jurídica.</w:t>
      </w:r>
      <w:r>
        <w:rPr>
          <w:rFonts w:eastAsia="Times New Roman" w:cs="Arial"/>
          <w:color w:val="000000" w:themeColor="text1"/>
          <w:szCs w:val="24"/>
          <w:u w:val="single"/>
          <w:lang w:eastAsia="es-CO"/>
          <w14:textFill>
            <w14:solidFill>
              <w14:schemeClr w14:val="tx1"/>
            </w14:solidFill>
          </w14:textFill>
        </w:rPr>
        <w:t> Para los efectos de los títulos 2 y 3 del presente Libro se entenderán efectuadas con una misma persona jurídica, además de las operaciones realizadas con ésta, las siguientes: </w:t>
      </w:r>
    </w:p>
    <w:p w14:paraId="75F1F451">
      <w:pPr>
        <w:spacing w:after="0" w:line="254" w:lineRule="atLeast"/>
        <w:ind w:left="142" w:right="49"/>
        <w:jc w:val="both"/>
        <w:rPr>
          <w:rFonts w:eastAsia="Times New Roman" w:cs="Arial"/>
          <w:color w:val="000000" w:themeColor="text1"/>
          <w:szCs w:val="24"/>
          <w:u w:val="single"/>
          <w:lang w:eastAsia="es-CO"/>
          <w14:textFill>
            <w14:solidFill>
              <w14:schemeClr w14:val="tx1"/>
            </w14:solidFill>
          </w14:textFill>
        </w:rPr>
      </w:pPr>
      <w:r>
        <w:rPr>
          <w:rFonts w:eastAsia="Times New Roman" w:cs="Arial"/>
          <w:color w:val="000000" w:themeColor="text1"/>
          <w:szCs w:val="24"/>
          <w:u w:val="single"/>
          <w:lang w:eastAsia="es-CO"/>
          <w14:textFill>
            <w14:solidFill>
              <w14:schemeClr w14:val="tx1"/>
            </w14:solidFill>
          </w14:textFill>
        </w:rPr>
        <w:t>1. Las celebradas con las personas jurídicas en las cuales tenga más del cincuenta por ciento (50%) del capital o de los derechos de voto, o el derecho de nombrar más de la mitad de los miembros del órgano de administración. </w:t>
      </w:r>
    </w:p>
    <w:p w14:paraId="5E36AE27">
      <w:pPr>
        <w:spacing w:after="0" w:line="254" w:lineRule="atLeast"/>
        <w:ind w:left="142" w:right="49"/>
        <w:jc w:val="both"/>
        <w:rPr>
          <w:rFonts w:eastAsia="Times New Roman" w:cs="Arial"/>
          <w:color w:val="000000" w:themeColor="text1"/>
          <w:szCs w:val="24"/>
          <w:u w:val="single"/>
          <w:lang w:eastAsia="es-CO"/>
          <w14:textFill>
            <w14:solidFill>
              <w14:schemeClr w14:val="tx1"/>
            </w14:solidFill>
          </w14:textFill>
        </w:rPr>
      </w:pPr>
      <w:r>
        <w:rPr>
          <w:rFonts w:eastAsia="Times New Roman" w:cs="Arial"/>
          <w:color w:val="000000" w:themeColor="text1"/>
          <w:szCs w:val="24"/>
          <w:u w:val="single"/>
          <w:lang w:eastAsia="es-CO"/>
          <w14:textFill>
            <w14:solidFill>
              <w14:schemeClr w14:val="tx1"/>
            </w14:solidFill>
          </w14:textFill>
        </w:rPr>
        <w:t>2. Las celebradas con personas jurídicas en las cuales sea accionista o asociado y la mayoría de los miembros de los órganos de administración o control hayan sido designados por el ejercicio de su derecho de voto, salvo que otra persona tenga respecto de ella los derechos o atribuciones a que se refiere el numeral anterior. </w:t>
      </w:r>
    </w:p>
    <w:p w14:paraId="72C3E934">
      <w:pPr>
        <w:spacing w:after="0" w:line="254" w:lineRule="atLeast"/>
        <w:ind w:left="142" w:right="49"/>
        <w:jc w:val="both"/>
        <w:rPr>
          <w:rFonts w:eastAsia="Times New Roman" w:cs="Arial"/>
          <w:color w:val="000000" w:themeColor="text1"/>
          <w:szCs w:val="24"/>
          <w:u w:val="single"/>
          <w:lang w:eastAsia="es-CO"/>
          <w14:textFill>
            <w14:solidFill>
              <w14:schemeClr w14:val="tx1"/>
            </w14:solidFill>
          </w14:textFill>
        </w:rPr>
      </w:pPr>
      <w:r>
        <w:rPr>
          <w:rFonts w:eastAsia="Times New Roman" w:cs="Arial"/>
          <w:color w:val="000000" w:themeColor="text1"/>
          <w:szCs w:val="24"/>
          <w:u w:val="single"/>
          <w:lang w:eastAsia="es-CO"/>
          <w14:textFill>
            <w14:solidFill>
              <w14:schemeClr w14:val="tx1"/>
            </w14:solidFill>
          </w14:textFill>
        </w:rPr>
        <w:t>3. Las celebradas con personas jurídicas de las cuales sea accionista o asociado, cuando por convenio con los demás accionistas de la sociedad controle más del cincuenta por ciento (50%) de los derechos de voto de la correspondiente entidad. </w:t>
      </w:r>
    </w:p>
    <w:p w14:paraId="60D66454">
      <w:pPr>
        <w:spacing w:after="0" w:line="254" w:lineRule="atLeast"/>
        <w:ind w:left="142" w:right="49"/>
        <w:jc w:val="both"/>
        <w:rPr>
          <w:rFonts w:eastAsia="Times New Roman" w:cs="Arial"/>
          <w:color w:val="000000" w:themeColor="text1"/>
          <w:szCs w:val="24"/>
          <w:u w:val="single"/>
          <w:lang w:eastAsia="es-CO"/>
          <w14:textFill>
            <w14:solidFill>
              <w14:schemeClr w14:val="tx1"/>
            </w14:solidFill>
          </w14:textFill>
        </w:rPr>
      </w:pPr>
      <w:r>
        <w:rPr>
          <w:rFonts w:eastAsia="Times New Roman" w:cs="Arial"/>
          <w:color w:val="000000" w:themeColor="text1"/>
          <w:szCs w:val="24"/>
          <w:u w:val="single"/>
          <w:lang w:eastAsia="es-CO"/>
          <w14:textFill>
            <w14:solidFill>
              <w14:schemeClr w14:val="tx1"/>
            </w14:solidFill>
          </w14:textFill>
        </w:rPr>
        <w:t>4. Las celebradas con personas jurídicas en las cuales, aquella o quienes la controlen, tengan una participación en el capital igual o superior al veinte por ciento (20%), siempre y cuando la entidad accionista como aquélla de la cual es socia o asociada se encuentren colocadas bajo una dirección única o sus órganos de administración, de dirección o de control estén compuestos o se encuentren mayoritariamente controlados por las mismas personas. ,,,,”</w:t>
      </w:r>
    </w:p>
    <w:p w14:paraId="1BD3CED9">
      <w:pPr>
        <w:spacing w:after="0" w:line="254" w:lineRule="atLeast"/>
        <w:ind w:left="142" w:right="49"/>
        <w:jc w:val="both"/>
        <w:rPr>
          <w:rFonts w:eastAsia="Times New Roman" w:cs="Arial"/>
          <w:color w:val="000000" w:themeColor="text1"/>
          <w:szCs w:val="24"/>
          <w:u w:val="single"/>
          <w:lang w:eastAsia="es-CO"/>
          <w14:textFill>
            <w14:solidFill>
              <w14:schemeClr w14:val="tx1"/>
            </w14:solidFill>
          </w14:textFill>
        </w:rPr>
      </w:pPr>
    </w:p>
    <w:p w14:paraId="27B316A0">
      <w:pPr>
        <w:spacing w:after="0" w:line="254" w:lineRule="atLeast"/>
        <w:ind w:left="142" w:right="49"/>
        <w:jc w:val="both"/>
        <w:rPr>
          <w:rFonts w:eastAsia="Times New Roman" w:cs="Arial"/>
          <w:color w:val="000000" w:themeColor="text1"/>
          <w:szCs w:val="24"/>
          <w:u w:val="single"/>
          <w:lang w:eastAsia="es-CO"/>
          <w14:textFill>
            <w14:solidFill>
              <w14:schemeClr w14:val="tx1"/>
            </w14:solidFill>
          </w14:textFill>
        </w:rPr>
      </w:pPr>
      <w:r>
        <w:rPr>
          <w:rFonts w:eastAsia="Times New Roman" w:cs="Arial"/>
          <w:b/>
          <w:bCs/>
          <w:color w:val="000000" w:themeColor="text1"/>
          <w:szCs w:val="24"/>
          <w:u w:val="single"/>
          <w:lang w:eastAsia="es-CO"/>
          <w14:textFill>
            <w14:solidFill>
              <w14:schemeClr w14:val="tx1"/>
            </w14:solidFill>
          </w14:textFill>
        </w:rPr>
        <w:t>“Artículo 2.1.2.1.11 Capítulo I Titulo 2 Libro 1 Parte 2 del Decreto 2555 de 2010 Acumulación en personas naturales.</w:t>
      </w:r>
      <w:r>
        <w:rPr>
          <w:rFonts w:eastAsia="Times New Roman" w:cs="Arial"/>
          <w:color w:val="000000" w:themeColor="text1"/>
          <w:szCs w:val="24"/>
          <w:u w:val="single"/>
          <w:lang w:eastAsia="es-CO"/>
          <w14:textFill>
            <w14:solidFill>
              <w14:schemeClr w14:val="tx1"/>
            </w14:solidFill>
          </w14:textFill>
        </w:rPr>
        <w:t> Se entenderán otorgadas a una misma persona natural, las siguientes operaciones: </w:t>
      </w:r>
    </w:p>
    <w:p w14:paraId="1C77D005">
      <w:pPr>
        <w:spacing w:after="0" w:line="254" w:lineRule="atLeast"/>
        <w:ind w:left="142" w:right="49"/>
        <w:jc w:val="both"/>
        <w:rPr>
          <w:rFonts w:eastAsia="Times New Roman" w:cs="Arial"/>
          <w:color w:val="000000" w:themeColor="text1"/>
          <w:szCs w:val="24"/>
          <w:u w:val="single"/>
          <w:lang w:eastAsia="es-CO"/>
          <w14:textFill>
            <w14:solidFill>
              <w14:schemeClr w14:val="tx1"/>
            </w14:solidFill>
          </w14:textFill>
        </w:rPr>
      </w:pPr>
      <w:r>
        <w:rPr>
          <w:rFonts w:eastAsia="Times New Roman" w:cs="Arial"/>
          <w:color w:val="000000" w:themeColor="text1"/>
          <w:szCs w:val="24"/>
          <w:u w:val="single"/>
          <w:lang w:eastAsia="es-CO"/>
          <w14:textFill>
            <w14:solidFill>
              <w14:schemeClr w14:val="tx1"/>
            </w14:solidFill>
          </w14:textFill>
        </w:rPr>
        <w:t>1. Las otorgadas a su cónyuge, compañero o compañera permanente y los parientes dentro del 2º grado de consanguinidad, 2º de afinidad y único civil. </w:t>
      </w:r>
    </w:p>
    <w:p w14:paraId="3B7405C4">
      <w:pPr>
        <w:spacing w:after="0" w:line="254" w:lineRule="atLeast"/>
        <w:ind w:left="142" w:right="49"/>
        <w:jc w:val="both"/>
        <w:rPr>
          <w:rFonts w:eastAsia="Times New Roman" w:cs="Arial"/>
          <w:color w:val="000000" w:themeColor="text1"/>
          <w:szCs w:val="24"/>
          <w:u w:val="single"/>
          <w:lang w:eastAsia="es-CO"/>
          <w14:textFill>
            <w14:solidFill>
              <w14:schemeClr w14:val="tx1"/>
            </w14:solidFill>
          </w14:textFill>
        </w:rPr>
      </w:pPr>
      <w:r>
        <w:rPr>
          <w:rFonts w:eastAsia="Times New Roman" w:cs="Arial"/>
          <w:color w:val="000000" w:themeColor="text1"/>
          <w:szCs w:val="24"/>
          <w:u w:val="single"/>
          <w:lang w:eastAsia="es-CO"/>
          <w14:textFill>
            <w14:solidFill>
              <w14:schemeClr w14:val="tx1"/>
            </w14:solidFill>
          </w14:textFill>
        </w:rPr>
        <w:t>2. Las celebradas con personas jurídicas respecto de las cuales la persona natural, su cónyuge, compañero o compañera permanente o los parientes indicados en el numeral anterior se encuentren en alguno de los supuestos de acumulación contemplados en el artículo 2.1.2.1.10 del presente decreto…”</w:t>
      </w:r>
    </w:p>
    <w:p w14:paraId="6D0E01A6">
      <w:pPr>
        <w:spacing w:after="0" w:line="240" w:lineRule="auto"/>
        <w:ind w:left="142" w:right="49"/>
        <w:jc w:val="both"/>
        <w:rPr>
          <w:rFonts w:cs="Arial"/>
          <w:color w:val="000000" w:themeColor="text1"/>
          <w:szCs w:val="24"/>
          <w14:textFill>
            <w14:solidFill>
              <w14:schemeClr w14:val="tx1"/>
            </w14:solidFill>
          </w14:textFill>
        </w:rPr>
      </w:pPr>
    </w:p>
    <w:p w14:paraId="4D622827">
      <w:pPr>
        <w:pStyle w:val="4"/>
      </w:pPr>
      <w:bookmarkStart w:id="107" w:name="_Toc151443601"/>
      <w:bookmarkStart w:id="108" w:name="_Toc182642823"/>
      <w:r>
        <w:t>6.10.2 Límites por Reciprocidad de Aportes</w:t>
      </w:r>
      <w:bookmarkEnd w:id="107"/>
      <w:bookmarkEnd w:id="108"/>
    </w:p>
    <w:p w14:paraId="5FA25B47">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Todo crédito debe tener reciprocidad de aportes y esta </w:t>
      </w:r>
      <w:bookmarkStart w:id="109" w:name="_Toc151443602"/>
      <w:r>
        <w:rPr>
          <w:rFonts w:cs="Arial"/>
          <w:color w:val="000000" w:themeColor="text1"/>
          <w:szCs w:val="24"/>
          <w14:textFill>
            <w14:solidFill>
              <w14:schemeClr w14:val="tx1"/>
            </w14:solidFill>
          </w14:textFill>
        </w:rPr>
        <w:t>es definida anualmente por el Consejo de Administración.</w:t>
      </w:r>
    </w:p>
    <w:p w14:paraId="7294AB5A">
      <w:pPr>
        <w:pStyle w:val="4"/>
      </w:pPr>
      <w:bookmarkStart w:id="110" w:name="_Toc182642824"/>
      <w:r>
        <w:t>6.10.3 Límites de endeudamiento según garantía</w:t>
      </w:r>
      <w:bookmarkEnd w:id="109"/>
      <w:bookmarkEnd w:id="110"/>
      <w:r>
        <w:t xml:space="preserve"> </w:t>
      </w:r>
    </w:p>
    <w:p w14:paraId="4C7E7F80">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Los montos máximos a prestar en función al tipo de garantía están definidos según las diferentes líneas de créditos y lo establecido en el manual de líneas de crédito.</w:t>
      </w:r>
    </w:p>
    <w:p w14:paraId="2BEE293E">
      <w:pPr>
        <w:pStyle w:val="67"/>
        <w:numPr>
          <w:ilvl w:val="0"/>
          <w:numId w:val="20"/>
        </w:numPr>
        <w:ind w:left="142" w:right="49" w:firstLine="0"/>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Hasta 100 SMMLV con codeudores y/o firma personal. </w:t>
      </w:r>
    </w:p>
    <w:p w14:paraId="6AB0FDE5">
      <w:pPr>
        <w:pStyle w:val="67"/>
        <w:numPr>
          <w:ilvl w:val="0"/>
          <w:numId w:val="20"/>
        </w:numPr>
        <w:ind w:left="142" w:right="49" w:firstLine="0"/>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A partir de 100,1 SMMLV con garantía admisible. </w:t>
      </w:r>
    </w:p>
    <w:p w14:paraId="23093A3F">
      <w:pPr>
        <w:ind w:left="142" w:right="49"/>
        <w:jc w:val="both"/>
        <w:rPr>
          <w:rFonts w:cs="Arial"/>
          <w:color w:val="000000" w:themeColor="text1"/>
          <w:szCs w:val="24"/>
          <w14:textFill>
            <w14:solidFill>
              <w14:schemeClr w14:val="tx1"/>
            </w14:solidFill>
          </w14:textFill>
        </w:rPr>
      </w:pPr>
    </w:p>
    <w:p w14:paraId="340C469F">
      <w:pPr>
        <w:pStyle w:val="4"/>
      </w:pPr>
      <w:bookmarkStart w:id="111" w:name="_Toc151443603"/>
      <w:bookmarkStart w:id="112" w:name="_Toc182642825"/>
      <w:r>
        <w:t>6.10.4 Límites de endeudamiento según plazos</w:t>
      </w:r>
      <w:bookmarkEnd w:id="111"/>
      <w:bookmarkEnd w:id="112"/>
    </w:p>
    <w:p w14:paraId="55FE2364">
      <w:pPr>
        <w:ind w:left="142" w:right="49"/>
        <w:jc w:val="both"/>
        <w:rPr>
          <w:rFonts w:cs="Arial"/>
          <w:b/>
          <w:bCs/>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El plazo máximo que otorgará la cooperativa para la cancelación de los créditos otorgados es de 72 meses, se enmarca en los siguientes rangos:</w:t>
      </w:r>
    </w:p>
    <w:p w14:paraId="11A0A72C">
      <w:pPr>
        <w:spacing w:after="0"/>
        <w:ind w:left="142" w:right="49"/>
        <w:jc w:val="both"/>
        <w:rPr>
          <w:rFonts w:cs="Arial"/>
          <w:color w:val="000000" w:themeColor="text1"/>
          <w:szCs w:val="24"/>
          <w14:textFill>
            <w14:solidFill>
              <w14:schemeClr w14:val="tx1"/>
            </w14:solidFill>
          </w14:textFill>
        </w:rPr>
      </w:pPr>
    </w:p>
    <w:tbl>
      <w:tblPr>
        <w:tblStyle w:val="12"/>
        <w:tblW w:w="7509" w:type="dxa"/>
        <w:jc w:val="center"/>
        <w:tblLayout w:type="autofit"/>
        <w:tblCellMar>
          <w:top w:w="9" w:type="dxa"/>
          <w:left w:w="112" w:type="dxa"/>
          <w:bottom w:w="0" w:type="dxa"/>
          <w:right w:w="43" w:type="dxa"/>
        </w:tblCellMar>
      </w:tblPr>
      <w:tblGrid>
        <w:gridCol w:w="4474"/>
        <w:gridCol w:w="3035"/>
      </w:tblGrid>
      <w:tr w14:paraId="5660B9F6">
        <w:tblPrEx>
          <w:tblCellMar>
            <w:top w:w="9" w:type="dxa"/>
            <w:left w:w="112" w:type="dxa"/>
            <w:bottom w:w="0" w:type="dxa"/>
            <w:right w:w="43" w:type="dxa"/>
          </w:tblCellMar>
        </w:tblPrEx>
        <w:trPr>
          <w:trHeight w:val="273" w:hRule="atLeast"/>
          <w:jc w:val="center"/>
        </w:trPr>
        <w:tc>
          <w:tcPr>
            <w:tcW w:w="4474" w:type="dxa"/>
            <w:tcBorders>
              <w:top w:val="single" w:color="000000" w:sz="2" w:space="0"/>
              <w:left w:val="single" w:color="000000" w:sz="2" w:space="0"/>
              <w:bottom w:val="single" w:color="000000" w:sz="2" w:space="0"/>
              <w:right w:val="single" w:color="000000" w:sz="2" w:space="0"/>
            </w:tcBorders>
          </w:tcPr>
          <w:p w14:paraId="72A9347A">
            <w:pPr>
              <w:spacing w:after="0"/>
              <w:ind w:left="142" w:right="49"/>
              <w:jc w:val="center"/>
              <w:rPr>
                <w:rFonts w:cs="Arial"/>
                <w:b/>
                <w:bCs/>
                <w:color w:val="000000" w:themeColor="text1"/>
                <w:szCs w:val="24"/>
                <w14:textFill>
                  <w14:solidFill>
                    <w14:schemeClr w14:val="tx1"/>
                  </w14:solidFill>
                </w14:textFill>
              </w:rPr>
            </w:pPr>
            <w:bookmarkStart w:id="113" w:name="_Toc483228326"/>
            <w:r>
              <w:rPr>
                <w:rFonts w:cs="Arial"/>
                <w:b/>
                <w:bCs/>
                <w:color w:val="000000" w:themeColor="text1"/>
                <w:szCs w:val="24"/>
                <w14:textFill>
                  <w14:solidFill>
                    <w14:schemeClr w14:val="tx1"/>
                  </w14:solidFill>
                </w14:textFill>
              </w:rPr>
              <w:t>MONTO</w:t>
            </w:r>
          </w:p>
        </w:tc>
        <w:tc>
          <w:tcPr>
            <w:tcW w:w="3035" w:type="dxa"/>
            <w:tcBorders>
              <w:top w:val="single" w:color="000000" w:sz="2" w:space="0"/>
              <w:left w:val="single" w:color="000000" w:sz="2" w:space="0"/>
              <w:bottom w:val="single" w:color="000000" w:sz="2" w:space="0"/>
              <w:right w:val="single" w:color="000000" w:sz="2" w:space="0"/>
            </w:tcBorders>
          </w:tcPr>
          <w:p w14:paraId="604F1EE2">
            <w:pPr>
              <w:spacing w:after="0"/>
              <w:ind w:left="142" w:right="49"/>
              <w:jc w:val="center"/>
              <w:rPr>
                <w:rFonts w:cs="Arial"/>
                <w:b/>
                <w:bCs/>
                <w:color w:val="000000" w:themeColor="text1"/>
                <w:szCs w:val="24"/>
                <w14:textFill>
                  <w14:solidFill>
                    <w14:schemeClr w14:val="tx1"/>
                  </w14:solidFill>
                </w14:textFill>
              </w:rPr>
            </w:pPr>
            <w:r>
              <w:rPr>
                <w:rFonts w:cs="Arial"/>
                <w:b/>
                <w:bCs/>
                <w:color w:val="000000" w:themeColor="text1"/>
                <w:szCs w:val="24"/>
                <w14:textFill>
                  <w14:solidFill>
                    <w14:schemeClr w14:val="tx1"/>
                  </w14:solidFill>
                </w14:textFill>
              </w:rPr>
              <w:t>PLAZOS MÁXIMO (MESES)</w:t>
            </w:r>
          </w:p>
        </w:tc>
      </w:tr>
      <w:tr w14:paraId="4C94C524">
        <w:tblPrEx>
          <w:tblCellMar>
            <w:top w:w="9" w:type="dxa"/>
            <w:left w:w="112" w:type="dxa"/>
            <w:bottom w:w="0" w:type="dxa"/>
            <w:right w:w="43" w:type="dxa"/>
          </w:tblCellMar>
        </w:tblPrEx>
        <w:trPr>
          <w:trHeight w:val="277" w:hRule="atLeast"/>
          <w:jc w:val="center"/>
        </w:trPr>
        <w:tc>
          <w:tcPr>
            <w:tcW w:w="4474" w:type="dxa"/>
            <w:tcBorders>
              <w:top w:val="single" w:color="000000" w:sz="2" w:space="0"/>
              <w:left w:val="single" w:color="000000" w:sz="2" w:space="0"/>
              <w:bottom w:val="single" w:color="000000" w:sz="2" w:space="0"/>
              <w:right w:val="single" w:color="000000" w:sz="2" w:space="0"/>
            </w:tcBorders>
          </w:tcPr>
          <w:p w14:paraId="57CB07DB">
            <w:pPr>
              <w:spacing w:after="0"/>
              <w:ind w:left="142" w:right="49"/>
              <w:jc w:val="center"/>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Créditos hasta 1 SMMLV</w:t>
            </w:r>
          </w:p>
        </w:tc>
        <w:tc>
          <w:tcPr>
            <w:tcW w:w="3035" w:type="dxa"/>
            <w:tcBorders>
              <w:top w:val="single" w:color="000000" w:sz="2" w:space="0"/>
              <w:left w:val="single" w:color="000000" w:sz="2" w:space="0"/>
              <w:bottom w:val="single" w:color="000000" w:sz="2" w:space="0"/>
              <w:right w:val="single" w:color="000000" w:sz="2" w:space="0"/>
            </w:tcBorders>
          </w:tcPr>
          <w:p w14:paraId="22F92F35">
            <w:pPr>
              <w:tabs>
                <w:tab w:val="left" w:pos="1186"/>
                <w:tab w:val="center" w:pos="1486"/>
              </w:tabs>
              <w:spacing w:after="0"/>
              <w:ind w:left="142" w:right="49"/>
              <w:jc w:val="center"/>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12 meses</w:t>
            </w:r>
          </w:p>
        </w:tc>
      </w:tr>
      <w:tr w14:paraId="061BFE8E">
        <w:tblPrEx>
          <w:tblCellMar>
            <w:top w:w="9" w:type="dxa"/>
            <w:left w:w="112" w:type="dxa"/>
            <w:bottom w:w="0" w:type="dxa"/>
            <w:right w:w="43" w:type="dxa"/>
          </w:tblCellMar>
        </w:tblPrEx>
        <w:trPr>
          <w:trHeight w:val="277" w:hRule="atLeast"/>
          <w:jc w:val="center"/>
        </w:trPr>
        <w:tc>
          <w:tcPr>
            <w:tcW w:w="4474" w:type="dxa"/>
            <w:tcBorders>
              <w:top w:val="single" w:color="000000" w:sz="2" w:space="0"/>
              <w:left w:val="single" w:color="000000" w:sz="2" w:space="0"/>
              <w:bottom w:val="single" w:color="000000" w:sz="2" w:space="0"/>
              <w:right w:val="single" w:color="000000" w:sz="2" w:space="0"/>
            </w:tcBorders>
          </w:tcPr>
          <w:p w14:paraId="025BDB76">
            <w:pPr>
              <w:spacing w:after="0"/>
              <w:ind w:left="142" w:right="49"/>
              <w:jc w:val="center"/>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Créditos mayores a 1 y hasta 4 SMMLV</w:t>
            </w:r>
          </w:p>
        </w:tc>
        <w:tc>
          <w:tcPr>
            <w:tcW w:w="3035" w:type="dxa"/>
            <w:tcBorders>
              <w:top w:val="single" w:color="000000" w:sz="2" w:space="0"/>
              <w:left w:val="single" w:color="000000" w:sz="2" w:space="0"/>
              <w:bottom w:val="single" w:color="000000" w:sz="2" w:space="0"/>
              <w:right w:val="single" w:color="000000" w:sz="2" w:space="0"/>
            </w:tcBorders>
          </w:tcPr>
          <w:p w14:paraId="18FEE821">
            <w:pPr>
              <w:spacing w:after="0"/>
              <w:ind w:left="142" w:right="49"/>
              <w:jc w:val="center"/>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24 meses</w:t>
            </w:r>
          </w:p>
        </w:tc>
      </w:tr>
      <w:tr w14:paraId="41BB4197">
        <w:tblPrEx>
          <w:tblCellMar>
            <w:top w:w="9" w:type="dxa"/>
            <w:left w:w="112" w:type="dxa"/>
            <w:bottom w:w="0" w:type="dxa"/>
            <w:right w:w="43" w:type="dxa"/>
          </w:tblCellMar>
        </w:tblPrEx>
        <w:trPr>
          <w:trHeight w:val="334" w:hRule="atLeast"/>
          <w:jc w:val="center"/>
        </w:trPr>
        <w:tc>
          <w:tcPr>
            <w:tcW w:w="4474" w:type="dxa"/>
            <w:tcBorders>
              <w:top w:val="single" w:color="000000" w:sz="2" w:space="0"/>
              <w:left w:val="single" w:color="000000" w:sz="2" w:space="0"/>
              <w:bottom w:val="single" w:color="000000" w:sz="2" w:space="0"/>
              <w:right w:val="single" w:color="000000" w:sz="2" w:space="0"/>
            </w:tcBorders>
          </w:tcPr>
          <w:p w14:paraId="7B01396A">
            <w:pPr>
              <w:spacing w:after="0"/>
              <w:ind w:left="142" w:right="49"/>
              <w:jc w:val="center"/>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Créditos superiores a 4 SMMLV y hasta 9.5 SMMLV</w:t>
            </w:r>
          </w:p>
        </w:tc>
        <w:tc>
          <w:tcPr>
            <w:tcW w:w="3035" w:type="dxa"/>
            <w:tcBorders>
              <w:top w:val="single" w:color="000000" w:sz="2" w:space="0"/>
              <w:left w:val="single" w:color="000000" w:sz="2" w:space="0"/>
              <w:bottom w:val="single" w:color="000000" w:sz="2" w:space="0"/>
              <w:right w:val="single" w:color="000000" w:sz="2" w:space="0"/>
            </w:tcBorders>
          </w:tcPr>
          <w:p w14:paraId="7904A1AC">
            <w:pPr>
              <w:spacing w:after="0"/>
              <w:ind w:left="142" w:right="49"/>
              <w:jc w:val="center"/>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43 meses</w:t>
            </w:r>
          </w:p>
        </w:tc>
      </w:tr>
      <w:tr w14:paraId="07B4B241">
        <w:tblPrEx>
          <w:tblCellMar>
            <w:top w:w="9" w:type="dxa"/>
            <w:left w:w="112" w:type="dxa"/>
            <w:bottom w:w="0" w:type="dxa"/>
            <w:right w:w="43" w:type="dxa"/>
          </w:tblCellMar>
        </w:tblPrEx>
        <w:trPr>
          <w:trHeight w:val="334" w:hRule="atLeast"/>
          <w:jc w:val="center"/>
        </w:trPr>
        <w:tc>
          <w:tcPr>
            <w:tcW w:w="4474" w:type="dxa"/>
            <w:tcBorders>
              <w:top w:val="single" w:color="000000" w:sz="2" w:space="0"/>
              <w:left w:val="single" w:color="000000" w:sz="2" w:space="0"/>
              <w:bottom w:val="single" w:color="000000" w:sz="2" w:space="0"/>
              <w:right w:val="single" w:color="000000" w:sz="2" w:space="0"/>
            </w:tcBorders>
          </w:tcPr>
          <w:p w14:paraId="47D00C4E">
            <w:pPr>
              <w:spacing w:after="0"/>
              <w:ind w:left="142" w:right="49"/>
              <w:jc w:val="center"/>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Créditos superiores a 9.5 SMMLV y hasta 23 SMMLV</w:t>
            </w:r>
          </w:p>
        </w:tc>
        <w:tc>
          <w:tcPr>
            <w:tcW w:w="3035" w:type="dxa"/>
            <w:tcBorders>
              <w:top w:val="single" w:color="000000" w:sz="2" w:space="0"/>
              <w:left w:val="single" w:color="000000" w:sz="2" w:space="0"/>
              <w:bottom w:val="single" w:color="000000" w:sz="2" w:space="0"/>
              <w:right w:val="single" w:color="000000" w:sz="2" w:space="0"/>
            </w:tcBorders>
          </w:tcPr>
          <w:p w14:paraId="1374ECFF">
            <w:pPr>
              <w:spacing w:after="0"/>
              <w:ind w:left="142" w:right="49"/>
              <w:jc w:val="center"/>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53 meses</w:t>
            </w:r>
          </w:p>
        </w:tc>
      </w:tr>
      <w:tr w14:paraId="7AACE303">
        <w:tblPrEx>
          <w:tblCellMar>
            <w:top w:w="9" w:type="dxa"/>
            <w:left w:w="112" w:type="dxa"/>
            <w:bottom w:w="0" w:type="dxa"/>
            <w:right w:w="43" w:type="dxa"/>
          </w:tblCellMar>
        </w:tblPrEx>
        <w:trPr>
          <w:trHeight w:val="334" w:hRule="atLeast"/>
          <w:jc w:val="center"/>
        </w:trPr>
        <w:tc>
          <w:tcPr>
            <w:tcW w:w="4474" w:type="dxa"/>
            <w:tcBorders>
              <w:top w:val="single" w:color="000000" w:sz="2" w:space="0"/>
              <w:left w:val="single" w:color="000000" w:sz="2" w:space="0"/>
              <w:bottom w:val="single" w:color="000000" w:sz="2" w:space="0"/>
              <w:right w:val="single" w:color="000000" w:sz="2" w:space="0"/>
            </w:tcBorders>
          </w:tcPr>
          <w:p w14:paraId="3A272342">
            <w:pPr>
              <w:spacing w:after="0"/>
              <w:ind w:left="142" w:right="49"/>
              <w:jc w:val="center"/>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Créditos superiores a 23 SMMLV y hasta 35 SMMLV</w:t>
            </w:r>
          </w:p>
        </w:tc>
        <w:tc>
          <w:tcPr>
            <w:tcW w:w="3035" w:type="dxa"/>
            <w:tcBorders>
              <w:top w:val="single" w:color="000000" w:sz="2" w:space="0"/>
              <w:left w:val="single" w:color="000000" w:sz="2" w:space="0"/>
              <w:bottom w:val="single" w:color="000000" w:sz="2" w:space="0"/>
              <w:right w:val="single" w:color="000000" w:sz="2" w:space="0"/>
            </w:tcBorders>
          </w:tcPr>
          <w:p w14:paraId="0A8064EF">
            <w:pPr>
              <w:spacing w:after="0"/>
              <w:ind w:left="142" w:right="49"/>
              <w:jc w:val="center"/>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60 meses</w:t>
            </w:r>
          </w:p>
        </w:tc>
      </w:tr>
      <w:tr w14:paraId="7FA449F7">
        <w:tblPrEx>
          <w:tblCellMar>
            <w:top w:w="9" w:type="dxa"/>
            <w:left w:w="112" w:type="dxa"/>
            <w:bottom w:w="0" w:type="dxa"/>
            <w:right w:w="43" w:type="dxa"/>
          </w:tblCellMar>
        </w:tblPrEx>
        <w:trPr>
          <w:trHeight w:val="334" w:hRule="atLeast"/>
          <w:jc w:val="center"/>
        </w:trPr>
        <w:tc>
          <w:tcPr>
            <w:tcW w:w="4474" w:type="dxa"/>
            <w:tcBorders>
              <w:top w:val="single" w:color="000000" w:sz="2" w:space="0"/>
              <w:left w:val="single" w:color="000000" w:sz="2" w:space="0"/>
              <w:bottom w:val="single" w:color="000000" w:sz="2" w:space="0"/>
              <w:right w:val="single" w:color="000000" w:sz="2" w:space="0"/>
            </w:tcBorders>
          </w:tcPr>
          <w:p w14:paraId="558DE126">
            <w:pPr>
              <w:spacing w:after="0"/>
              <w:ind w:left="142" w:right="49"/>
              <w:jc w:val="center"/>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Créditos superiores a 35 SMMLV </w:t>
            </w:r>
          </w:p>
        </w:tc>
        <w:tc>
          <w:tcPr>
            <w:tcW w:w="3035" w:type="dxa"/>
            <w:tcBorders>
              <w:top w:val="single" w:color="000000" w:sz="2" w:space="0"/>
              <w:left w:val="single" w:color="000000" w:sz="2" w:space="0"/>
              <w:bottom w:val="single" w:color="000000" w:sz="2" w:space="0"/>
              <w:right w:val="single" w:color="000000" w:sz="2" w:space="0"/>
            </w:tcBorders>
          </w:tcPr>
          <w:p w14:paraId="3F0360C5">
            <w:pPr>
              <w:spacing w:after="0"/>
              <w:ind w:left="142" w:right="49"/>
              <w:jc w:val="center"/>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72 meses</w:t>
            </w:r>
          </w:p>
        </w:tc>
      </w:tr>
    </w:tbl>
    <w:p w14:paraId="712B929C">
      <w:pPr>
        <w:spacing w:after="0"/>
        <w:ind w:left="142" w:right="49"/>
        <w:jc w:val="both"/>
        <w:rPr>
          <w:rStyle w:val="75"/>
          <w:rFonts w:ascii="Arial" w:hAnsi="Arial" w:cs="Arial" w:eastAsiaTheme="minorHAnsi"/>
          <w:color w:val="000000" w:themeColor="text1"/>
          <w:sz w:val="24"/>
          <w:szCs w:val="24"/>
          <w14:textFill>
            <w14:solidFill>
              <w14:schemeClr w14:val="tx1"/>
            </w14:solidFill>
          </w14:textFill>
        </w:rPr>
      </w:pPr>
    </w:p>
    <w:bookmarkEnd w:id="113"/>
    <w:p w14:paraId="2E651EA9">
      <w:pPr>
        <w:spacing w:after="0"/>
        <w:ind w:left="142" w:right="49"/>
        <w:jc w:val="both"/>
        <w:rPr>
          <w:rFonts w:cs="Arial"/>
          <w:color w:val="000000" w:themeColor="text1"/>
          <w:szCs w:val="24"/>
          <w14:textFill>
            <w14:solidFill>
              <w14:schemeClr w14:val="tx1"/>
            </w14:solidFill>
          </w14:textFill>
        </w:rPr>
      </w:pPr>
    </w:p>
    <w:p w14:paraId="785602E5">
      <w:pPr>
        <w:pStyle w:val="4"/>
      </w:pPr>
      <w:bookmarkStart w:id="114" w:name="_Toc151443604"/>
      <w:bookmarkStart w:id="115" w:name="_Toc182642826"/>
      <w:r>
        <w:t>6.10.5 Otros Limites</w:t>
      </w:r>
      <w:bookmarkEnd w:id="114"/>
      <w:bookmarkEnd w:id="115"/>
    </w:p>
    <w:p w14:paraId="16BA12AA">
      <w:pPr>
        <w:autoSpaceDE w:val="0"/>
        <w:autoSpaceDN w:val="0"/>
        <w:adjustRightInd w:val="0"/>
        <w:spacing w:after="0" w:line="240" w:lineRule="auto"/>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Los límites relacionados con Monto, plazos, concentración por deudor, concentración por segmentos de cartera, productos, sector, actividad económica y otros se encuentran en el Anexo N°2.</w:t>
      </w:r>
    </w:p>
    <w:p w14:paraId="7B6AC6D1">
      <w:pPr>
        <w:ind w:left="142" w:right="49"/>
        <w:jc w:val="both"/>
        <w:rPr>
          <w:rFonts w:cs="Arial"/>
          <w:color w:val="000000" w:themeColor="text1"/>
          <w:szCs w:val="24"/>
          <w:lang w:val="es-MX"/>
          <w14:textFill>
            <w14:solidFill>
              <w14:schemeClr w14:val="tx1"/>
            </w14:solidFill>
          </w14:textFill>
        </w:rPr>
      </w:pPr>
    </w:p>
    <w:p w14:paraId="4A5A2F92">
      <w:pPr>
        <w:pStyle w:val="4"/>
      </w:pPr>
      <w:bookmarkStart w:id="116" w:name="_Toc182642827"/>
      <w:bookmarkStart w:id="117" w:name="_Toc151443605"/>
      <w:r>
        <w:t>6.10.6 Incumplimiento de límites:</w:t>
      </w:r>
      <w:bookmarkEnd w:id="116"/>
      <w:bookmarkEnd w:id="117"/>
      <w:r>
        <w:t xml:space="preserve"> </w:t>
      </w:r>
    </w:p>
    <w:p w14:paraId="00DFC065">
      <w:pPr>
        <w:tabs>
          <w:tab w:val="left" w:pos="565"/>
        </w:tabs>
        <w:spacing w:before="1"/>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En caso de incumplimiento de límites, el área de Riesgos deberá evaluar la situación y una vez evaluados los motivos del incumplimiento, se coordinará la pertinencia o no de:</w:t>
      </w:r>
    </w:p>
    <w:p w14:paraId="22E499B1">
      <w:pPr>
        <w:pStyle w:val="67"/>
        <w:widowControl w:val="0"/>
        <w:numPr>
          <w:ilvl w:val="0"/>
          <w:numId w:val="25"/>
        </w:numPr>
        <w:tabs>
          <w:tab w:val="left" w:pos="565"/>
        </w:tabs>
        <w:autoSpaceDE w:val="0"/>
        <w:autoSpaceDN w:val="0"/>
        <w:spacing w:before="1" w:after="0" w:line="240" w:lineRule="auto"/>
        <w:ind w:left="142" w:right="49" w:firstLine="0"/>
        <w:contextualSpacing w:val="0"/>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Implementar estrategias adicionales que eviten el incumplimiento</w:t>
      </w:r>
    </w:p>
    <w:p w14:paraId="36E8DB37">
      <w:pPr>
        <w:pStyle w:val="67"/>
        <w:widowControl w:val="0"/>
        <w:numPr>
          <w:ilvl w:val="0"/>
          <w:numId w:val="25"/>
        </w:numPr>
        <w:tabs>
          <w:tab w:val="left" w:pos="565"/>
        </w:tabs>
        <w:autoSpaceDE w:val="0"/>
        <w:autoSpaceDN w:val="0"/>
        <w:spacing w:before="1" w:after="0" w:line="240" w:lineRule="auto"/>
        <w:ind w:left="142" w:right="49" w:firstLine="0"/>
        <w:contextualSpacing w:val="0"/>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Solicitar autorización para la excepción de estos.</w:t>
      </w:r>
    </w:p>
    <w:p w14:paraId="1E2EB000">
      <w:pPr>
        <w:pStyle w:val="67"/>
        <w:widowControl w:val="0"/>
        <w:numPr>
          <w:ilvl w:val="0"/>
          <w:numId w:val="25"/>
        </w:numPr>
        <w:tabs>
          <w:tab w:val="left" w:pos="565"/>
        </w:tabs>
        <w:autoSpaceDE w:val="0"/>
        <w:autoSpaceDN w:val="0"/>
        <w:spacing w:before="1" w:after="0" w:line="240" w:lineRule="auto"/>
        <w:ind w:left="142" w:right="49" w:firstLine="0"/>
        <w:contextualSpacing w:val="0"/>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Proponer al Comité la modificación o ajuste de los límites incumplidos, según sea el caso </w:t>
      </w:r>
    </w:p>
    <w:p w14:paraId="0022B816">
      <w:pPr>
        <w:tabs>
          <w:tab w:val="left" w:pos="565"/>
        </w:tabs>
        <w:spacing w:before="1"/>
        <w:ind w:left="142" w:right="49"/>
        <w:jc w:val="both"/>
        <w:rPr>
          <w:rFonts w:cs="Arial"/>
          <w:color w:val="000000" w:themeColor="text1"/>
          <w:szCs w:val="24"/>
          <w14:textFill>
            <w14:solidFill>
              <w14:schemeClr w14:val="tx1"/>
            </w14:solidFill>
          </w14:textFill>
        </w:rPr>
      </w:pPr>
    </w:p>
    <w:p w14:paraId="4EFCCD6D">
      <w:pPr>
        <w:tabs>
          <w:tab w:val="left" w:pos="565"/>
        </w:tabs>
        <w:spacing w:before="1"/>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Adicionalmente, estos incumplimientos deberán ser reportados al Comité de Riesgos, y al Consejo de Administración e informados a la Gerencia General y áreas pertinentes a través de los reportes internos.</w:t>
      </w:r>
    </w:p>
    <w:p w14:paraId="5361B999">
      <w:pPr>
        <w:spacing w:after="0" w:line="240" w:lineRule="auto"/>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Las anteriores actividades se realizarán sin perjuicio de los posibles llamados de atención y/o sanciones a que pudiera haber lugar.</w:t>
      </w:r>
    </w:p>
    <w:p w14:paraId="6719F321">
      <w:pPr>
        <w:tabs>
          <w:tab w:val="left" w:pos="565"/>
        </w:tabs>
        <w:spacing w:before="1"/>
        <w:ind w:left="142" w:right="49"/>
        <w:jc w:val="both"/>
        <w:rPr>
          <w:rFonts w:cs="Arial"/>
          <w:color w:val="000000" w:themeColor="text1"/>
          <w:szCs w:val="24"/>
          <w14:textFill>
            <w14:solidFill>
              <w14:schemeClr w14:val="tx1"/>
            </w14:solidFill>
          </w14:textFill>
        </w:rPr>
      </w:pPr>
    </w:p>
    <w:p w14:paraId="69911CF1">
      <w:pPr>
        <w:pStyle w:val="3"/>
      </w:pPr>
      <w:bookmarkStart w:id="118" w:name="_Toc483228300"/>
      <w:r>
        <w:t xml:space="preserve"> </w:t>
      </w:r>
      <w:bookmarkStart w:id="119" w:name="_Toc151443606"/>
      <w:bookmarkStart w:id="120" w:name="_Toc182642828"/>
      <w:r>
        <w:t>Personas Privilegiadas</w:t>
      </w:r>
      <w:bookmarkEnd w:id="118"/>
      <w:r>
        <w:t xml:space="preserve"> - Partes Relacionadas O Vinculadas</w:t>
      </w:r>
      <w:bookmarkEnd w:id="119"/>
      <w:bookmarkEnd w:id="120"/>
    </w:p>
    <w:p w14:paraId="7F102F3A">
      <w:pPr>
        <w:ind w:left="142" w:right="49"/>
        <w:jc w:val="both"/>
        <w:rPr>
          <w:rFonts w:cs="Arial"/>
          <w:color w:val="000000" w:themeColor="text1"/>
          <w:szCs w:val="24"/>
          <w14:textFill>
            <w14:solidFill>
              <w14:schemeClr w14:val="tx1"/>
            </w14:solidFill>
          </w14:textFill>
        </w:rPr>
      </w:pPr>
    </w:p>
    <w:p w14:paraId="2AF0B091">
      <w:pPr>
        <w:ind w:left="142" w:right="49"/>
        <w:jc w:val="both"/>
        <w:rPr>
          <w:rFonts w:cs="Arial"/>
          <w:b/>
          <w:bCs/>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Se entiende por </w:t>
      </w:r>
      <w:r>
        <w:rPr>
          <w:rFonts w:cs="Arial"/>
          <w:b/>
          <w:bCs/>
          <w:color w:val="000000" w:themeColor="text1"/>
          <w:szCs w:val="24"/>
          <w14:textFill>
            <w14:solidFill>
              <w14:schemeClr w14:val="tx1"/>
            </w14:solidFill>
          </w14:textFill>
        </w:rPr>
        <w:t>personas privilegiadas:</w:t>
      </w:r>
    </w:p>
    <w:p w14:paraId="6EB2851D">
      <w:pPr>
        <w:numPr>
          <w:ilvl w:val="0"/>
          <w:numId w:val="26"/>
        </w:numPr>
        <w:spacing w:after="0"/>
        <w:ind w:left="142" w:right="49" w:firstLine="0"/>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Asociados titulares del cinco por ciento (5%) o más de los aportes sociales de la entidad.</w:t>
      </w:r>
    </w:p>
    <w:p w14:paraId="51A98C97">
      <w:pPr>
        <w:numPr>
          <w:ilvl w:val="0"/>
          <w:numId w:val="26"/>
        </w:numPr>
        <w:spacing w:after="3" w:line="247" w:lineRule="auto"/>
        <w:ind w:left="142" w:right="49" w:firstLine="0"/>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Miembros del Consejo de Administración.</w:t>
      </w:r>
    </w:p>
    <w:p w14:paraId="70835BC9">
      <w:pPr>
        <w:numPr>
          <w:ilvl w:val="0"/>
          <w:numId w:val="26"/>
        </w:numPr>
        <w:spacing w:after="3" w:line="247" w:lineRule="auto"/>
        <w:ind w:left="142" w:right="49" w:firstLine="0"/>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Miembros de la junta de vigilancia.</w:t>
      </w:r>
    </w:p>
    <w:p w14:paraId="7A65338A">
      <w:pPr>
        <w:numPr>
          <w:ilvl w:val="0"/>
          <w:numId w:val="26"/>
        </w:numPr>
        <w:spacing w:after="3" w:line="247" w:lineRule="auto"/>
        <w:ind w:left="142" w:right="49" w:firstLine="0"/>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Representantes Legales principal o suplente.</w:t>
      </w:r>
    </w:p>
    <w:p w14:paraId="17772959">
      <w:pPr>
        <w:numPr>
          <w:ilvl w:val="0"/>
          <w:numId w:val="26"/>
        </w:numPr>
        <w:spacing w:after="3" w:line="247" w:lineRule="auto"/>
        <w:ind w:left="142" w:right="49" w:firstLine="0"/>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Las personas jurídicas de las cuales los anteriores sean administradores o miembros de junta de vigilancia.</w:t>
      </w:r>
    </w:p>
    <w:p w14:paraId="517A0AAE">
      <w:pPr>
        <w:spacing w:after="3" w:line="247" w:lineRule="auto"/>
        <w:ind w:left="142" w:right="49"/>
        <w:jc w:val="both"/>
        <w:rPr>
          <w:rFonts w:cs="Arial"/>
          <w:color w:val="000000" w:themeColor="text1"/>
          <w:szCs w:val="24"/>
          <w14:textFill>
            <w14:solidFill>
              <w14:schemeClr w14:val="tx1"/>
            </w14:solidFill>
          </w14:textFill>
        </w:rPr>
      </w:pPr>
    </w:p>
    <w:p w14:paraId="51F89CC3">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Los cónyuges y parientes hasta segundo grado de consanguinidad, segundo de afinidad y primero civil de las personas señaladas en los numerales anteriores, esto es de consejeros, miembros de la junta de vigilancia y representante legal principal y suplente.  Lo anterior no aplica para los integrantes del Comité de Crédito, siempre y cuando estos no hagan parte del Consejo de Administración.</w:t>
      </w:r>
    </w:p>
    <w:p w14:paraId="49A2BFBA">
      <w:pPr>
        <w:ind w:left="142" w:right="49"/>
        <w:jc w:val="both"/>
        <w:rPr>
          <w:rFonts w:cs="Arial"/>
          <w:color w:val="000000" w:themeColor="text1"/>
          <w:szCs w:val="24"/>
          <w:lang w:bidi="en-US"/>
          <w14:textFill>
            <w14:solidFill>
              <w14:schemeClr w14:val="tx1"/>
            </w14:solidFill>
          </w14:textFill>
        </w:rPr>
      </w:pPr>
      <w:r>
        <w:rPr>
          <w:rFonts w:cs="Arial"/>
          <w:color w:val="000000" w:themeColor="text1"/>
          <w:szCs w:val="24"/>
          <w:lang w:bidi="en-US"/>
          <w14:textFill>
            <w14:solidFill>
              <w14:schemeClr w14:val="tx1"/>
            </w14:solidFill>
          </w14:textFill>
        </w:rPr>
        <w:t xml:space="preserve">Una parte </w:t>
      </w:r>
      <w:r>
        <w:rPr>
          <w:rFonts w:cs="Arial"/>
          <w:b/>
          <w:bCs/>
          <w:color w:val="000000" w:themeColor="text1"/>
          <w:szCs w:val="24"/>
          <w:lang w:bidi="en-US"/>
          <w14:textFill>
            <w14:solidFill>
              <w14:schemeClr w14:val="tx1"/>
            </w14:solidFill>
          </w14:textFill>
        </w:rPr>
        <w:t>relacionada o vinculada</w:t>
      </w:r>
      <w:r>
        <w:rPr>
          <w:rFonts w:cs="Arial"/>
          <w:color w:val="000000" w:themeColor="text1"/>
          <w:szCs w:val="24"/>
          <w:lang w:bidi="en-US"/>
          <w14:textFill>
            <w14:solidFill>
              <w14:schemeClr w14:val="tx1"/>
            </w14:solidFill>
          </w14:textFill>
        </w:rPr>
        <w:t xml:space="preserve"> es una persona o entidad que está relacionada con la organización que prepara sus estados financieros.</w:t>
      </w:r>
    </w:p>
    <w:p w14:paraId="03A22914">
      <w:pPr>
        <w:pStyle w:val="67"/>
        <w:numPr>
          <w:ilvl w:val="0"/>
          <w:numId w:val="20"/>
        </w:numPr>
        <w:ind w:left="142" w:right="49" w:firstLine="0"/>
        <w:jc w:val="both"/>
        <w:rPr>
          <w:rFonts w:cs="Arial"/>
          <w:color w:val="000000" w:themeColor="text1"/>
          <w:szCs w:val="24"/>
          <w:lang w:bidi="en-US"/>
          <w14:textFill>
            <w14:solidFill>
              <w14:schemeClr w14:val="tx1"/>
            </w14:solidFill>
          </w14:textFill>
        </w:rPr>
      </w:pPr>
      <w:r>
        <w:rPr>
          <w:rFonts w:cs="Arial"/>
          <w:color w:val="000000" w:themeColor="text1"/>
          <w:szCs w:val="24"/>
          <w:lang w:bidi="en-US"/>
          <w14:textFill>
            <w14:solidFill>
              <w14:schemeClr w14:val="tx1"/>
            </w14:solidFill>
          </w14:textFill>
        </w:rPr>
        <w:t>En el caso de personas: Miembro del personal clave de la gerencia y aquellas que ejercen control o control conjunto o influencia significativa sobre la cooperativa.</w:t>
      </w:r>
    </w:p>
    <w:p w14:paraId="7F0E83F5">
      <w:pPr>
        <w:pStyle w:val="67"/>
        <w:numPr>
          <w:ilvl w:val="0"/>
          <w:numId w:val="20"/>
        </w:numPr>
        <w:ind w:left="142" w:right="49" w:firstLine="0"/>
        <w:jc w:val="both"/>
        <w:rPr>
          <w:rFonts w:cs="Arial"/>
          <w:color w:val="000000" w:themeColor="text1"/>
          <w:szCs w:val="24"/>
          <w:lang w:bidi="en-US"/>
          <w14:textFill>
            <w14:solidFill>
              <w14:schemeClr w14:val="tx1"/>
            </w14:solidFill>
          </w14:textFill>
        </w:rPr>
      </w:pPr>
      <w:r>
        <w:rPr>
          <w:rFonts w:cs="Arial"/>
          <w:color w:val="000000" w:themeColor="text1"/>
          <w:szCs w:val="24"/>
          <w:lang w:bidi="en-US"/>
          <w14:textFill>
            <w14:solidFill>
              <w14:schemeClr w14:val="tx1"/>
            </w14:solidFill>
          </w14:textFill>
        </w:rPr>
        <w:t>Para el caso de una entidad: Subsidiarias, asociadas, o un negocio conjunto, controladora, o cuando la entidad es un plan de beneficios post-empleo para los trabajadores de la organización que informa.</w:t>
      </w:r>
    </w:p>
    <w:p w14:paraId="6AE947D6">
      <w:pPr>
        <w:ind w:left="142" w:right="49"/>
        <w:jc w:val="both"/>
        <w:rPr>
          <w:rFonts w:cs="Arial"/>
          <w:color w:val="000000" w:themeColor="text1"/>
          <w:szCs w:val="24"/>
          <w:lang w:bidi="en-US"/>
          <w14:textFill>
            <w14:solidFill>
              <w14:schemeClr w14:val="tx1"/>
            </w14:solidFill>
          </w14:textFill>
        </w:rPr>
      </w:pPr>
      <w:r>
        <w:rPr>
          <w:rFonts w:cs="Arial"/>
          <w:color w:val="000000" w:themeColor="text1"/>
          <w:szCs w:val="24"/>
          <w:lang w:bidi="en-US"/>
          <w14:textFill>
            <w14:solidFill>
              <w14:schemeClr w14:val="tx1"/>
            </w14:solidFill>
          </w14:textFill>
        </w:rPr>
        <w:t>Por lo anterior para efectos de monitoreo la entidad define como partes relacionadas:</w:t>
      </w:r>
    </w:p>
    <w:p w14:paraId="1275C412">
      <w:pPr>
        <w:numPr>
          <w:ilvl w:val="0"/>
          <w:numId w:val="26"/>
        </w:numPr>
        <w:spacing w:after="3" w:line="247" w:lineRule="auto"/>
        <w:ind w:left="142" w:right="49" w:firstLine="0"/>
        <w:jc w:val="both"/>
        <w:rPr>
          <w:rFonts w:cs="Arial"/>
          <w:color w:val="000000" w:themeColor="text1"/>
          <w:szCs w:val="24"/>
          <w:lang w:bidi="en-US"/>
          <w14:textFill>
            <w14:solidFill>
              <w14:schemeClr w14:val="tx1"/>
            </w14:solidFill>
          </w14:textFill>
        </w:rPr>
      </w:pPr>
      <w:r>
        <w:rPr>
          <w:rFonts w:cs="Arial"/>
          <w:color w:val="000000" w:themeColor="text1"/>
          <w:szCs w:val="24"/>
          <w14:textFill>
            <w14:solidFill>
              <w14:schemeClr w14:val="tx1"/>
            </w14:solidFill>
          </w14:textFill>
        </w:rPr>
        <w:t>Las personas jurídicas en las cuales los Miembros del Consejo de Administración, Miembros de la junta de vigilancia, Representantes Legales principal o suplente tengan participación de más del 10% de su capital, o en las cuales los anteriores sean administradores o miembros de junta de vigilancia.</w:t>
      </w:r>
    </w:p>
    <w:p w14:paraId="4AEFAC99">
      <w:pPr>
        <w:numPr>
          <w:ilvl w:val="0"/>
          <w:numId w:val="26"/>
        </w:numPr>
        <w:spacing w:after="3" w:line="247" w:lineRule="auto"/>
        <w:ind w:left="142" w:right="49" w:firstLine="0"/>
        <w:jc w:val="both"/>
        <w:rPr>
          <w:rFonts w:cs="Arial"/>
          <w:color w:val="000000" w:themeColor="text1"/>
          <w:szCs w:val="24"/>
          <w:lang w:bidi="en-US"/>
          <w14:textFill>
            <w14:solidFill>
              <w14:schemeClr w14:val="tx1"/>
            </w14:solidFill>
          </w14:textFill>
        </w:rPr>
      </w:pPr>
      <w:r>
        <w:rPr>
          <w:rFonts w:cs="Arial"/>
          <w:color w:val="000000" w:themeColor="text1"/>
          <w:szCs w:val="24"/>
          <w14:textFill>
            <w14:solidFill>
              <w14:schemeClr w14:val="tx1"/>
            </w14:solidFill>
          </w14:textFill>
        </w:rPr>
        <w:t xml:space="preserve">Y los funcionarios </w:t>
      </w:r>
      <w:r>
        <w:rPr>
          <w:rFonts w:cs="Arial"/>
          <w:color w:val="000000" w:themeColor="text1"/>
          <w:szCs w:val="24"/>
          <w:lang w:bidi="en-US"/>
          <w14:textFill>
            <w14:solidFill>
              <w14:schemeClr w14:val="tx1"/>
            </w14:solidFill>
          </w14:textFill>
        </w:rPr>
        <w:t>de 2 nivel, es decir los jefes de área.</w:t>
      </w:r>
    </w:p>
    <w:p w14:paraId="4F4CE079">
      <w:pPr>
        <w:jc w:val="both"/>
        <w:rPr>
          <w:rFonts w:cs="Arial"/>
          <w:szCs w:val="24"/>
          <w:lang w:val="es-ES"/>
        </w:rPr>
      </w:pPr>
    </w:p>
    <w:p w14:paraId="26CCB7BF">
      <w:pPr>
        <w:jc w:val="both"/>
        <w:rPr>
          <w:rFonts w:cs="Arial"/>
          <w:szCs w:val="24"/>
          <w:lang w:val="es-ES"/>
        </w:rPr>
      </w:pPr>
    </w:p>
    <w:p w14:paraId="401767CE">
      <w:pPr>
        <w:pStyle w:val="2"/>
        <w:rPr>
          <w:rFonts w:eastAsia="Times New Roman"/>
        </w:rPr>
      </w:pPr>
      <w:bookmarkStart w:id="121" w:name="_Toc151443607"/>
      <w:bookmarkStart w:id="122" w:name="_Toc182642829"/>
      <w:r>
        <w:rPr>
          <w:rFonts w:eastAsia="Times New Roman"/>
        </w:rPr>
        <w:t>ETAPAS</w:t>
      </w:r>
      <w:bookmarkEnd w:id="121"/>
      <w:bookmarkEnd w:id="122"/>
    </w:p>
    <w:p w14:paraId="5CF60EEB">
      <w:pPr>
        <w:keepNext/>
        <w:numPr>
          <w:ilvl w:val="1"/>
          <w:numId w:val="1"/>
        </w:numPr>
        <w:spacing w:before="240" w:after="60" w:line="240" w:lineRule="auto"/>
        <w:ind w:left="142" w:right="49" w:firstLine="0"/>
        <w:jc w:val="both"/>
        <w:outlineLvl w:val="1"/>
        <w:rPr>
          <w:rFonts w:eastAsia="Times New Roman" w:cs="Arial"/>
          <w:b/>
          <w:bCs/>
          <w:color w:val="000000" w:themeColor="text1"/>
          <w:szCs w:val="24"/>
          <w:lang w:val="es-ES" w:eastAsia="es-ES" w:bidi="en-US"/>
          <w14:textFill>
            <w14:solidFill>
              <w14:schemeClr w14:val="tx1"/>
            </w14:solidFill>
          </w14:textFill>
        </w:rPr>
      </w:pPr>
      <w:bookmarkStart w:id="123" w:name="_Toc151443608"/>
      <w:bookmarkStart w:id="124" w:name="_Toc182642830"/>
      <w:r>
        <w:rPr>
          <w:rFonts w:eastAsia="Times New Roman" w:cs="Arial"/>
          <w:b/>
          <w:bCs/>
          <w:color w:val="000000" w:themeColor="text1"/>
          <w:szCs w:val="24"/>
          <w:lang w:val="es-ES" w:eastAsia="es-ES" w:bidi="en-US"/>
          <w14:textFill>
            <w14:solidFill>
              <w14:schemeClr w14:val="tx1"/>
            </w14:solidFill>
          </w14:textFill>
        </w:rPr>
        <w:t>Identificación:</w:t>
      </w:r>
      <w:bookmarkEnd w:id="123"/>
      <w:bookmarkEnd w:id="124"/>
      <w:r>
        <w:rPr>
          <w:rFonts w:eastAsia="Times New Roman" w:cs="Arial"/>
          <w:b/>
          <w:bCs/>
          <w:color w:val="000000" w:themeColor="text1"/>
          <w:szCs w:val="24"/>
          <w:lang w:val="es-ES" w:eastAsia="es-ES" w:bidi="en-US"/>
          <w14:textFill>
            <w14:solidFill>
              <w14:schemeClr w14:val="tx1"/>
            </w14:solidFill>
          </w14:textFill>
        </w:rPr>
        <w:t xml:space="preserve"> </w:t>
      </w:r>
    </w:p>
    <w:p w14:paraId="66A73957">
      <w:pPr>
        <w:spacing w:line="256" w:lineRule="auto"/>
        <w:ind w:left="142" w:right="49"/>
        <w:jc w:val="both"/>
        <w:rPr>
          <w:rFonts w:eastAsia="Calibri" w:cs="Arial"/>
          <w:color w:val="000000" w:themeColor="text1"/>
          <w:szCs w:val="24"/>
          <w:lang w:val="es-ES"/>
          <w14:textFill>
            <w14:solidFill>
              <w14:schemeClr w14:val="tx1"/>
            </w14:solidFill>
          </w14:textFill>
        </w:rPr>
      </w:pPr>
      <w:r>
        <w:rPr>
          <w:rFonts w:eastAsia="Calibri" w:cs="Arial"/>
          <w:color w:val="000000" w:themeColor="text1"/>
          <w:szCs w:val="24"/>
          <w:lang w:val="es-ES"/>
          <w14:textFill>
            <w14:solidFill>
              <w14:schemeClr w14:val="tx1"/>
            </w14:solidFill>
          </w14:textFill>
        </w:rPr>
        <w:t xml:space="preserve">COOPCALLEJONA es un establecimiento de aporte y crédito, su principal actividad es la intermediación de recursos, esto es, la captación de recursos y su colocación a través de operaciones activas de crédito. Por lo anterior fueron identificados </w:t>
      </w:r>
      <w:r>
        <w:rPr>
          <w:rFonts w:eastAsia="Calibri" w:cs="Arial"/>
          <w:bCs/>
          <w:color w:val="000000" w:themeColor="text1"/>
          <w:szCs w:val="24"/>
          <w14:textFill>
            <w14:solidFill>
              <w14:schemeClr w14:val="tx1"/>
            </w14:solidFill>
          </w14:textFill>
        </w:rPr>
        <w:t>los eventos y factores de riesgo que podrían afectar el perfil deudor y su capacidad de pago, para el mercado (s) objetivo (s) que atiende la entidad, los cuales se observan en el Mapa de Riesgos, el cual deberá ser revisado mínimo una vez al año.</w:t>
      </w:r>
    </w:p>
    <w:p w14:paraId="384FB4FE">
      <w:pPr>
        <w:spacing w:line="256" w:lineRule="auto"/>
        <w:ind w:left="142" w:right="49"/>
        <w:jc w:val="both"/>
        <w:rPr>
          <w:rFonts w:eastAsia="Calibri" w:cs="Arial"/>
          <w:color w:val="000000" w:themeColor="text1"/>
          <w:szCs w:val="24"/>
          <w14:textFill>
            <w14:solidFill>
              <w14:schemeClr w14:val="tx1"/>
            </w14:solidFill>
          </w14:textFill>
        </w:rPr>
      </w:pPr>
      <w:r>
        <w:rPr>
          <w:rFonts w:eastAsia="Calibri" w:cs="Arial"/>
          <w:bCs/>
          <w:color w:val="000000" w:themeColor="text1"/>
          <w:szCs w:val="24"/>
          <w14:textFill>
            <w14:solidFill>
              <w14:schemeClr w14:val="tx1"/>
            </w14:solidFill>
          </w14:textFill>
        </w:rPr>
        <w:t>De igual forma, se realizará la identificación de los riesgos de crédito, cuando se presenten las siguientes situaciones: i) previo al lanzamiento, uso o modificación de cualquier producto; ii) antes de la inclusión de nuevas prácticas comerciales, incluyendo nuevos canales de prestación de servicios, y el uso de nuevas tecnologías o tecnologías en desarrollo para productos nuevos o existentes; iii) previo a la incursión en un nuevo mercado o nicho de mercado.</w:t>
      </w:r>
      <w:bookmarkStart w:id="125" w:name="_Toc28362769"/>
      <w:bookmarkEnd w:id="125"/>
      <w:r>
        <w:rPr>
          <w:rFonts w:eastAsia="Calibri" w:cs="Arial"/>
          <w:bCs/>
          <w:color w:val="000000" w:themeColor="text1"/>
          <w:szCs w:val="24"/>
          <w14:textFill>
            <w14:solidFill>
              <w14:schemeClr w14:val="tx1"/>
            </w14:solidFill>
          </w14:textFill>
        </w:rPr>
        <w:t xml:space="preserve"> Igualmente, cuando se identifiquen nuevos riesgos de crédito se deberá evaluar la necesidad</w:t>
      </w:r>
      <w:r>
        <w:rPr>
          <w:rFonts w:eastAsia="Calibri" w:cs="Arial"/>
          <w:color w:val="000000" w:themeColor="text1"/>
          <w:szCs w:val="24"/>
          <w14:textFill>
            <w14:solidFill>
              <w14:schemeClr w14:val="tx1"/>
            </w14:solidFill>
          </w14:textFill>
        </w:rPr>
        <w:t xml:space="preserve"> de modificar políticas, limites, indicadores de gestión y procesos dentro del ciclo de crédito como son el otorgamiento, seguimiento y control y, recuperación; lo anterior bajo un proceso de monitoreo y de mejoramiento continuo del sistema de administración de riesgos.</w:t>
      </w:r>
    </w:p>
    <w:p w14:paraId="64DF4DD0">
      <w:pPr>
        <w:spacing w:line="256" w:lineRule="auto"/>
        <w:ind w:left="142" w:right="49"/>
        <w:jc w:val="both"/>
        <w:rPr>
          <w:rFonts w:eastAsia="Calibri" w:cs="Arial"/>
          <w:bCs/>
          <w:color w:val="000000" w:themeColor="text1"/>
          <w:szCs w:val="24"/>
          <w14:textFill>
            <w14:solidFill>
              <w14:schemeClr w14:val="tx1"/>
            </w14:solidFill>
          </w14:textFill>
        </w:rPr>
      </w:pPr>
      <w:r>
        <w:rPr>
          <w:rFonts w:eastAsia="Calibri" w:cs="Arial"/>
          <w:bCs/>
          <w:color w:val="000000" w:themeColor="text1"/>
          <w:szCs w:val="24"/>
          <w14:textFill>
            <w14:solidFill>
              <w14:schemeClr w14:val="tx1"/>
            </w14:solidFill>
          </w14:textFill>
        </w:rPr>
        <w:t>El proceso de identificación de riesgos de crédito será liderado por el encargado de riesgos, y deberán participar además la Gerencia General, el área de Crédito, Cartera, el área responsable de las funciones de Mercadeo (según sea el caso).</w:t>
      </w:r>
    </w:p>
    <w:p w14:paraId="055DA316">
      <w:pPr>
        <w:spacing w:line="256" w:lineRule="auto"/>
        <w:ind w:left="142" w:right="49"/>
        <w:jc w:val="both"/>
        <w:rPr>
          <w:rFonts w:eastAsia="Calibri" w:cs="Arial"/>
          <w:color w:val="000000" w:themeColor="text1"/>
          <w:szCs w:val="24"/>
          <w14:textFill>
            <w14:solidFill>
              <w14:schemeClr w14:val="tx1"/>
            </w14:solidFill>
          </w14:textFill>
        </w:rPr>
      </w:pPr>
      <w:r>
        <w:rPr>
          <w:rFonts w:eastAsia="Calibri" w:cs="Arial"/>
          <w:color w:val="000000" w:themeColor="text1"/>
          <w:szCs w:val="24"/>
          <w14:textFill>
            <w14:solidFill>
              <w14:schemeClr w14:val="tx1"/>
            </w14:solidFill>
          </w14:textFill>
        </w:rPr>
        <w:t>Los riesgos identificados se observan en el Anexo No. 1.</w:t>
      </w:r>
    </w:p>
    <w:p w14:paraId="7446295A">
      <w:pPr>
        <w:keepNext/>
        <w:numPr>
          <w:ilvl w:val="1"/>
          <w:numId w:val="1"/>
        </w:numPr>
        <w:spacing w:before="240" w:after="60" w:line="240" w:lineRule="auto"/>
        <w:ind w:left="142" w:right="49" w:firstLine="0"/>
        <w:jc w:val="both"/>
        <w:outlineLvl w:val="1"/>
        <w:rPr>
          <w:rFonts w:eastAsia="Times New Roman" w:cs="Arial"/>
          <w:b/>
          <w:bCs/>
          <w:color w:val="000000" w:themeColor="text1"/>
          <w:szCs w:val="24"/>
          <w:lang w:val="es-ES" w:eastAsia="es-ES" w:bidi="en-US"/>
          <w14:textFill>
            <w14:solidFill>
              <w14:schemeClr w14:val="tx1"/>
            </w14:solidFill>
          </w14:textFill>
        </w:rPr>
      </w:pPr>
      <w:bookmarkStart w:id="126" w:name="_Toc182642831"/>
      <w:bookmarkStart w:id="127" w:name="_Toc151443609"/>
      <w:r>
        <w:rPr>
          <w:rFonts w:eastAsia="Times New Roman" w:cs="Arial"/>
          <w:b/>
          <w:bCs/>
          <w:color w:val="000000" w:themeColor="text1"/>
          <w:szCs w:val="24"/>
          <w:lang w:val="es-ES" w:eastAsia="es-ES" w:bidi="en-US"/>
          <w14:textFill>
            <w14:solidFill>
              <w14:schemeClr w14:val="tx1"/>
            </w14:solidFill>
          </w14:textFill>
        </w:rPr>
        <w:t>Medición:</w:t>
      </w:r>
      <w:bookmarkEnd w:id="126"/>
      <w:bookmarkEnd w:id="127"/>
    </w:p>
    <w:p w14:paraId="42AD61E6">
      <w:pPr>
        <w:spacing w:line="256" w:lineRule="auto"/>
        <w:ind w:left="142" w:right="49"/>
        <w:jc w:val="both"/>
        <w:rPr>
          <w:rFonts w:eastAsia="Calibri" w:cs="Arial"/>
          <w:color w:val="000000" w:themeColor="text1"/>
          <w:szCs w:val="24"/>
          <w:lang w:val="es-ES" w:eastAsia="es-ES" w:bidi="en-US"/>
          <w14:textFill>
            <w14:solidFill>
              <w14:schemeClr w14:val="tx1"/>
            </w14:solidFill>
          </w14:textFill>
        </w:rPr>
      </w:pPr>
      <w:r>
        <w:rPr>
          <w:rFonts w:eastAsia="Calibri" w:cs="Arial"/>
          <w:color w:val="000000" w:themeColor="text1"/>
          <w:szCs w:val="24"/>
          <w:lang w:val="es-ES" w:eastAsia="es-ES" w:bidi="en-US"/>
          <w14:textFill>
            <w14:solidFill>
              <w14:schemeClr w14:val="tx1"/>
            </w14:solidFill>
          </w14:textFill>
        </w:rPr>
        <w:t>La medición del riesgo asociado a la cartera se lleva a cabo en las siguientes fases:</w:t>
      </w:r>
    </w:p>
    <w:p w14:paraId="1091864E">
      <w:pPr>
        <w:numPr>
          <w:ilvl w:val="0"/>
          <w:numId w:val="27"/>
        </w:numPr>
        <w:spacing w:line="256" w:lineRule="auto"/>
        <w:ind w:left="142" w:right="49" w:firstLine="0"/>
        <w:contextualSpacing/>
        <w:jc w:val="both"/>
        <w:rPr>
          <w:rFonts w:cs="Arial"/>
          <w:color w:val="000000" w:themeColor="text1"/>
          <w:kern w:val="2"/>
          <w:szCs w:val="24"/>
          <w:lang w:val="es-ES" w:eastAsia="es-ES" w:bidi="en-US"/>
          <w14:textFill>
            <w14:solidFill>
              <w14:schemeClr w14:val="tx1"/>
            </w14:solidFill>
          </w14:textFill>
          <w14:ligatures w14:val="standardContextual"/>
        </w:rPr>
      </w:pPr>
      <w:r>
        <w:rPr>
          <w:rFonts w:cs="Arial"/>
          <w:color w:val="000000" w:themeColor="text1"/>
          <w:kern w:val="2"/>
          <w:szCs w:val="24"/>
          <w:lang w:val="es-ES" w:eastAsia="es-ES" w:bidi="en-US"/>
          <w14:textFill>
            <w14:solidFill>
              <w14:schemeClr w14:val="tx1"/>
            </w14:solidFill>
          </w14:textFill>
          <w14:ligatures w14:val="standardContextual"/>
        </w:rPr>
        <w:t>Fase de otorgamiento: En esta etapa el riesgo se mide mediante el análisis de los créditos que son presentados para su aprobación y en los cuales se analiza la capacidad de pago y el perfil de riesgo del deudor. Cuando se trate de Restructuración el nivel de riesgo puede ser mayor atendiendo las políticas para el manejo de reestructuraciones.</w:t>
      </w:r>
    </w:p>
    <w:p w14:paraId="39DA1855">
      <w:pPr>
        <w:spacing w:line="256" w:lineRule="auto"/>
        <w:ind w:left="142" w:right="49"/>
        <w:contextualSpacing/>
        <w:jc w:val="both"/>
        <w:rPr>
          <w:rFonts w:cs="Arial"/>
          <w:color w:val="000000" w:themeColor="text1"/>
          <w:kern w:val="2"/>
          <w:szCs w:val="24"/>
          <w:lang w:val="es-ES" w:eastAsia="es-ES" w:bidi="en-US"/>
          <w14:textFill>
            <w14:solidFill>
              <w14:schemeClr w14:val="tx1"/>
            </w14:solidFill>
          </w14:textFill>
          <w14:ligatures w14:val="standardContextual"/>
        </w:rPr>
      </w:pPr>
    </w:p>
    <w:p w14:paraId="7EE43EFB">
      <w:pPr>
        <w:numPr>
          <w:ilvl w:val="0"/>
          <w:numId w:val="27"/>
        </w:numPr>
        <w:spacing w:line="256" w:lineRule="auto"/>
        <w:ind w:left="142" w:right="49" w:firstLine="0"/>
        <w:contextualSpacing/>
        <w:jc w:val="both"/>
        <w:rPr>
          <w:rFonts w:cs="Arial"/>
          <w:color w:val="000000" w:themeColor="text1"/>
          <w:kern w:val="2"/>
          <w:szCs w:val="24"/>
          <w:lang w:val="es-ES" w:eastAsia="es-ES" w:bidi="en-US"/>
          <w14:textFill>
            <w14:solidFill>
              <w14:schemeClr w14:val="tx1"/>
            </w14:solidFill>
          </w14:textFill>
          <w14:ligatures w14:val="standardContextual"/>
        </w:rPr>
      </w:pPr>
      <w:r>
        <w:rPr>
          <w:rFonts w:cs="Arial"/>
          <w:color w:val="000000" w:themeColor="text1"/>
          <w:kern w:val="2"/>
          <w:szCs w:val="24"/>
          <w:lang w:val="es-ES" w:eastAsia="es-ES" w:bidi="en-US"/>
          <w14:textFill>
            <w14:solidFill>
              <w14:schemeClr w14:val="tx1"/>
            </w14:solidFill>
          </w14:textFill>
          <w14:ligatures w14:val="standardContextual"/>
        </w:rPr>
        <w:t>Fase periódica mensual: Mensualmente se evalúa la altura de mora que tiene la obligación y de acuerdo con el modelo el nivel de riesgo de una obligación puede variar. Igualmente, el nivel de riesgo para una operación crediticia puede variar por las reglas de alineamiento. Cuando se trate de Restructuración el nivel de riesgo puede ser mayor atendiendo las políticas para el manejo de reestructuraciones.</w:t>
      </w:r>
    </w:p>
    <w:p w14:paraId="155115AD">
      <w:pPr>
        <w:spacing w:line="256" w:lineRule="auto"/>
        <w:ind w:left="142" w:right="49"/>
        <w:contextualSpacing/>
        <w:jc w:val="both"/>
        <w:rPr>
          <w:rFonts w:cs="Arial"/>
          <w:color w:val="000000" w:themeColor="text1"/>
          <w:kern w:val="2"/>
          <w:szCs w:val="24"/>
          <w:lang w:val="es-ES" w:eastAsia="es-ES" w:bidi="en-US"/>
          <w14:textFill>
            <w14:solidFill>
              <w14:schemeClr w14:val="tx1"/>
            </w14:solidFill>
          </w14:textFill>
          <w14:ligatures w14:val="standardContextual"/>
        </w:rPr>
      </w:pPr>
    </w:p>
    <w:p w14:paraId="62B9564D">
      <w:pPr>
        <w:numPr>
          <w:ilvl w:val="0"/>
          <w:numId w:val="27"/>
        </w:numPr>
        <w:spacing w:line="256" w:lineRule="auto"/>
        <w:ind w:left="142" w:right="49" w:firstLine="0"/>
        <w:contextualSpacing/>
        <w:jc w:val="both"/>
        <w:rPr>
          <w:rFonts w:cs="Arial"/>
          <w:color w:val="000000" w:themeColor="text1"/>
          <w:kern w:val="2"/>
          <w:szCs w:val="24"/>
          <w:lang w:val="es-ES" w:eastAsia="es-ES" w:bidi="en-US"/>
          <w14:textFill>
            <w14:solidFill>
              <w14:schemeClr w14:val="tx1"/>
            </w14:solidFill>
          </w14:textFill>
          <w14:ligatures w14:val="standardContextual"/>
        </w:rPr>
      </w:pPr>
      <w:r>
        <w:rPr>
          <w:rFonts w:cs="Arial"/>
          <w:color w:val="000000" w:themeColor="text1"/>
          <w:kern w:val="2"/>
          <w:szCs w:val="24"/>
          <w:lang w:val="es-ES" w:eastAsia="es-ES" w:bidi="en-US"/>
          <w14:textFill>
            <w14:solidFill>
              <w14:schemeClr w14:val="tx1"/>
            </w14:solidFill>
          </w14:textFill>
          <w14:ligatures w14:val="standardContextual"/>
        </w:rPr>
        <w:t>Fase de seguimiento y control: Teniendo en cuenta que el perfil de riesgo y la capacidad de pago puede variar en el tiempo, mediante la metodología establecida por la cooperativa se definen las nuevas categorías de riesgo para los deudores.</w:t>
      </w:r>
    </w:p>
    <w:p w14:paraId="7B30BA9C">
      <w:pPr>
        <w:autoSpaceDE w:val="0"/>
        <w:autoSpaceDN w:val="0"/>
        <w:adjustRightInd w:val="0"/>
        <w:spacing w:line="256" w:lineRule="auto"/>
        <w:ind w:left="142" w:right="49"/>
        <w:jc w:val="both"/>
        <w:rPr>
          <w:rFonts w:eastAsia="Calibri" w:cs="Arial"/>
          <w:color w:val="000000" w:themeColor="text1"/>
          <w:szCs w:val="24"/>
          <w14:textFill>
            <w14:solidFill>
              <w14:schemeClr w14:val="tx1"/>
            </w14:solidFill>
          </w14:textFill>
        </w:rPr>
      </w:pPr>
    </w:p>
    <w:p w14:paraId="04877BED">
      <w:pPr>
        <w:keepNext/>
        <w:numPr>
          <w:ilvl w:val="1"/>
          <w:numId w:val="1"/>
        </w:numPr>
        <w:spacing w:before="240" w:after="60" w:line="240" w:lineRule="auto"/>
        <w:ind w:left="142" w:right="49" w:firstLine="0"/>
        <w:jc w:val="both"/>
        <w:outlineLvl w:val="1"/>
        <w:rPr>
          <w:rFonts w:eastAsia="Times New Roman" w:cs="Arial"/>
          <w:b/>
          <w:bCs/>
          <w:color w:val="000000" w:themeColor="text1"/>
          <w:szCs w:val="24"/>
          <w:lang w:val="es-ES" w:eastAsia="es-ES" w:bidi="en-US"/>
          <w14:textFill>
            <w14:solidFill>
              <w14:schemeClr w14:val="tx1"/>
            </w14:solidFill>
          </w14:textFill>
        </w:rPr>
      </w:pPr>
      <w:bookmarkStart w:id="128" w:name="_Toc151443610"/>
      <w:bookmarkStart w:id="129" w:name="_Toc182642832"/>
      <w:r>
        <w:rPr>
          <w:rFonts w:eastAsia="Times New Roman" w:cs="Arial"/>
          <w:b/>
          <w:bCs/>
          <w:color w:val="000000" w:themeColor="text1"/>
          <w:szCs w:val="24"/>
          <w:lang w:val="es-ES" w:eastAsia="es-ES" w:bidi="en-US"/>
          <w14:textFill>
            <w14:solidFill>
              <w14:schemeClr w14:val="tx1"/>
            </w14:solidFill>
          </w14:textFill>
        </w:rPr>
        <w:t>Control</w:t>
      </w:r>
      <w:bookmarkEnd w:id="128"/>
      <w:bookmarkEnd w:id="129"/>
    </w:p>
    <w:p w14:paraId="5CA9E779">
      <w:pPr>
        <w:spacing w:line="256" w:lineRule="auto"/>
        <w:ind w:left="142" w:right="49"/>
        <w:jc w:val="both"/>
        <w:rPr>
          <w:rFonts w:eastAsia="Calibri" w:cs="Arial"/>
          <w:color w:val="000000" w:themeColor="text1"/>
          <w:szCs w:val="24"/>
          <w:lang w:eastAsia="ar-SA"/>
          <w14:textFill>
            <w14:solidFill>
              <w14:schemeClr w14:val="tx1"/>
            </w14:solidFill>
          </w14:textFill>
        </w:rPr>
      </w:pPr>
      <w:r>
        <w:rPr>
          <w:rFonts w:eastAsia="Calibri" w:cs="Arial"/>
          <w:color w:val="000000" w:themeColor="text1"/>
          <w:szCs w:val="24"/>
          <w:lang w:eastAsia="ar-SA"/>
          <w14:textFill>
            <w14:solidFill>
              <w14:schemeClr w14:val="tx1"/>
            </w14:solidFill>
          </w14:textFill>
        </w:rPr>
        <w:t>Las actividades de control del SARC buscan disminuir el riesgo de crédito en las diferentes etapas del ciclo del crédito. Entre las actividades de control definidas están:</w:t>
      </w:r>
    </w:p>
    <w:p w14:paraId="7D21E585">
      <w:pPr>
        <w:numPr>
          <w:ilvl w:val="0"/>
          <w:numId w:val="28"/>
        </w:numPr>
        <w:spacing w:line="256" w:lineRule="auto"/>
        <w:ind w:left="567" w:right="49" w:hanging="425"/>
        <w:contextualSpacing/>
        <w:jc w:val="both"/>
        <w:rPr>
          <w:rFonts w:cs="Arial"/>
          <w:color w:val="000000" w:themeColor="text1"/>
          <w:kern w:val="2"/>
          <w:szCs w:val="24"/>
          <w:lang w:eastAsia="ar-SA"/>
          <w14:textFill>
            <w14:solidFill>
              <w14:schemeClr w14:val="tx1"/>
            </w14:solidFill>
          </w14:textFill>
          <w14:ligatures w14:val="standardContextual"/>
        </w:rPr>
      </w:pPr>
      <w:r>
        <w:rPr>
          <w:rFonts w:cs="Arial"/>
          <w:color w:val="000000" w:themeColor="text1"/>
          <w:kern w:val="2"/>
          <w:szCs w:val="24"/>
          <w:lang w:eastAsia="ar-SA"/>
          <w14:textFill>
            <w14:solidFill>
              <w14:schemeClr w14:val="tx1"/>
            </w14:solidFill>
          </w14:textFill>
          <w14:ligatures w14:val="standardContextual"/>
        </w:rPr>
        <w:t>Los Ajustes a líneas de crédito, son evaluadas por el encargado de riesgos y presentadas al Comité de Riesgos.</w:t>
      </w:r>
    </w:p>
    <w:p w14:paraId="186F13FC">
      <w:pPr>
        <w:numPr>
          <w:ilvl w:val="0"/>
          <w:numId w:val="28"/>
        </w:numPr>
        <w:spacing w:line="256" w:lineRule="auto"/>
        <w:ind w:left="567" w:right="49" w:hanging="425"/>
        <w:contextualSpacing/>
        <w:jc w:val="both"/>
        <w:rPr>
          <w:rFonts w:cs="Arial"/>
          <w:color w:val="000000" w:themeColor="text1"/>
          <w:kern w:val="2"/>
          <w:szCs w:val="24"/>
          <w:lang w:eastAsia="ar-SA"/>
          <w14:textFill>
            <w14:solidFill>
              <w14:schemeClr w14:val="tx1"/>
            </w14:solidFill>
          </w14:textFill>
          <w14:ligatures w14:val="standardContextual"/>
        </w:rPr>
      </w:pPr>
      <w:r>
        <w:rPr>
          <w:rFonts w:cs="Arial"/>
          <w:color w:val="000000" w:themeColor="text1"/>
          <w:kern w:val="2"/>
          <w:szCs w:val="24"/>
          <w:lang w:eastAsia="ar-SA"/>
          <w14:textFill>
            <w14:solidFill>
              <w14:schemeClr w14:val="tx1"/>
            </w14:solidFill>
          </w14:textFill>
          <w14:ligatures w14:val="standardContextual"/>
        </w:rPr>
        <w:t>Seguimiento periódico a la Cartera.</w:t>
      </w:r>
    </w:p>
    <w:p w14:paraId="563BAA02">
      <w:pPr>
        <w:numPr>
          <w:ilvl w:val="0"/>
          <w:numId w:val="28"/>
        </w:numPr>
        <w:spacing w:line="256" w:lineRule="auto"/>
        <w:ind w:left="567" w:right="49" w:hanging="425"/>
        <w:contextualSpacing/>
        <w:jc w:val="both"/>
        <w:rPr>
          <w:rFonts w:cs="Arial"/>
          <w:color w:val="000000" w:themeColor="text1"/>
          <w:kern w:val="2"/>
          <w:szCs w:val="24"/>
          <w:lang w:eastAsia="ar-SA"/>
          <w14:textFill>
            <w14:solidFill>
              <w14:schemeClr w14:val="tx1"/>
            </w14:solidFill>
          </w14:textFill>
          <w14:ligatures w14:val="standardContextual"/>
        </w:rPr>
      </w:pPr>
      <w:r>
        <w:rPr>
          <w:rFonts w:cs="Arial"/>
          <w:color w:val="000000" w:themeColor="text1"/>
          <w:kern w:val="2"/>
          <w:szCs w:val="24"/>
          <w:lang w:eastAsia="ar-SA"/>
          <w14:textFill>
            <w14:solidFill>
              <w14:schemeClr w14:val="tx1"/>
            </w14:solidFill>
          </w14:textFill>
          <w14:ligatures w14:val="standardContextual"/>
        </w:rPr>
        <w:t>Los criterios de otorgamiento se encuentran documentados y aprobados por el Consejo de Administración.</w:t>
      </w:r>
    </w:p>
    <w:p w14:paraId="49F5EBDD">
      <w:pPr>
        <w:numPr>
          <w:ilvl w:val="0"/>
          <w:numId w:val="28"/>
        </w:numPr>
        <w:spacing w:line="256" w:lineRule="auto"/>
        <w:ind w:left="567" w:right="49" w:hanging="425"/>
        <w:contextualSpacing/>
        <w:jc w:val="both"/>
        <w:rPr>
          <w:rFonts w:cs="Arial"/>
          <w:color w:val="000000" w:themeColor="text1"/>
          <w:kern w:val="2"/>
          <w:szCs w:val="24"/>
          <w:lang w:eastAsia="ar-SA"/>
          <w14:textFill>
            <w14:solidFill>
              <w14:schemeClr w14:val="tx1"/>
            </w14:solidFill>
          </w14:textFill>
          <w14:ligatures w14:val="standardContextual"/>
        </w:rPr>
      </w:pPr>
      <w:r>
        <w:rPr>
          <w:rFonts w:cs="Arial"/>
          <w:color w:val="000000" w:themeColor="text1"/>
          <w:kern w:val="2"/>
          <w:szCs w:val="24"/>
          <w:lang w:eastAsia="ar-SA"/>
          <w14:textFill>
            <w14:solidFill>
              <w14:schemeClr w14:val="tx1"/>
            </w14:solidFill>
          </w14:textFill>
          <w14:ligatures w14:val="standardContextual"/>
        </w:rPr>
        <w:t>La entidad cuenta con el Código de ética y conducta.</w:t>
      </w:r>
    </w:p>
    <w:p w14:paraId="7A664EA7">
      <w:pPr>
        <w:numPr>
          <w:ilvl w:val="0"/>
          <w:numId w:val="28"/>
        </w:numPr>
        <w:spacing w:line="256" w:lineRule="auto"/>
        <w:ind w:left="567" w:right="49" w:hanging="425"/>
        <w:contextualSpacing/>
        <w:jc w:val="both"/>
        <w:rPr>
          <w:rFonts w:cs="Arial"/>
          <w:color w:val="000000" w:themeColor="text1"/>
          <w:kern w:val="2"/>
          <w:szCs w:val="24"/>
          <w:lang w:eastAsia="ar-SA"/>
          <w14:textFill>
            <w14:solidFill>
              <w14:schemeClr w14:val="tx1"/>
            </w14:solidFill>
          </w14:textFill>
          <w14:ligatures w14:val="standardContextual"/>
        </w:rPr>
      </w:pPr>
      <w:r>
        <w:rPr>
          <w:rFonts w:cs="Arial"/>
          <w:color w:val="000000" w:themeColor="text1"/>
          <w:kern w:val="2"/>
          <w:szCs w:val="24"/>
          <w:lang w:eastAsia="ar-SA"/>
          <w14:textFill>
            <w14:solidFill>
              <w14:schemeClr w14:val="tx1"/>
            </w14:solidFill>
          </w14:textFill>
          <w14:ligatures w14:val="standardContextual"/>
        </w:rPr>
        <w:t>Se realiza monitoreo a las operaciones con privilegiados y partes relacionadas.</w:t>
      </w:r>
    </w:p>
    <w:p w14:paraId="724CD76D">
      <w:pPr>
        <w:numPr>
          <w:ilvl w:val="0"/>
          <w:numId w:val="28"/>
        </w:numPr>
        <w:spacing w:line="256" w:lineRule="auto"/>
        <w:ind w:left="567" w:right="49" w:hanging="425"/>
        <w:contextualSpacing/>
        <w:jc w:val="both"/>
        <w:rPr>
          <w:rFonts w:cs="Arial"/>
          <w:color w:val="000000" w:themeColor="text1"/>
          <w:kern w:val="2"/>
          <w:szCs w:val="24"/>
          <w:lang w:eastAsia="ar-SA"/>
          <w14:textFill>
            <w14:solidFill>
              <w14:schemeClr w14:val="tx1"/>
            </w14:solidFill>
          </w14:textFill>
          <w14:ligatures w14:val="standardContextual"/>
        </w:rPr>
      </w:pPr>
      <w:r>
        <w:rPr>
          <w:rFonts w:cs="Arial"/>
          <w:color w:val="000000" w:themeColor="text1"/>
          <w:kern w:val="2"/>
          <w:szCs w:val="24"/>
          <w:lang w:eastAsia="ar-SA"/>
          <w14:textFill>
            <w14:solidFill>
              <w14:schemeClr w14:val="tx1"/>
            </w14:solidFill>
          </w14:textFill>
          <w14:ligatures w14:val="standardContextual"/>
        </w:rPr>
        <w:t>Las políticas solo pueden ser modificadas por el consejo de administración previa revisión del comité de riesgos.</w:t>
      </w:r>
    </w:p>
    <w:p w14:paraId="08F16830">
      <w:pPr>
        <w:numPr>
          <w:ilvl w:val="0"/>
          <w:numId w:val="28"/>
        </w:numPr>
        <w:spacing w:line="256" w:lineRule="auto"/>
        <w:ind w:left="567" w:right="49" w:hanging="425"/>
        <w:contextualSpacing/>
        <w:jc w:val="both"/>
        <w:rPr>
          <w:rFonts w:cs="Arial"/>
          <w:color w:val="000000" w:themeColor="text1"/>
          <w:kern w:val="2"/>
          <w:szCs w:val="24"/>
          <w:lang w:eastAsia="ar-SA"/>
          <w14:textFill>
            <w14:solidFill>
              <w14:schemeClr w14:val="tx1"/>
            </w14:solidFill>
          </w14:textFill>
          <w14:ligatures w14:val="standardContextual"/>
        </w:rPr>
      </w:pPr>
      <w:r>
        <w:rPr>
          <w:rFonts w:cs="Arial"/>
          <w:color w:val="000000" w:themeColor="text1"/>
          <w:kern w:val="2"/>
          <w:szCs w:val="24"/>
          <w:lang w:eastAsia="ar-SA"/>
          <w14:textFill>
            <w14:solidFill>
              <w14:schemeClr w14:val="tx1"/>
            </w14:solidFill>
          </w14:textFill>
          <w14:ligatures w14:val="standardContextual"/>
        </w:rPr>
        <w:t>La entidad ha definido límites de endeudamiento, instancias de aprobación de créditos.</w:t>
      </w:r>
    </w:p>
    <w:p w14:paraId="3036A905">
      <w:pPr>
        <w:numPr>
          <w:ilvl w:val="0"/>
          <w:numId w:val="28"/>
        </w:numPr>
        <w:spacing w:line="256" w:lineRule="auto"/>
        <w:ind w:left="567" w:right="49" w:hanging="425"/>
        <w:contextualSpacing/>
        <w:jc w:val="both"/>
        <w:rPr>
          <w:rFonts w:cs="Arial"/>
          <w:color w:val="000000" w:themeColor="text1"/>
          <w:kern w:val="2"/>
          <w:szCs w:val="24"/>
          <w:lang w:eastAsia="ar-SA"/>
          <w14:textFill>
            <w14:solidFill>
              <w14:schemeClr w14:val="tx1"/>
            </w14:solidFill>
          </w14:textFill>
          <w14:ligatures w14:val="standardContextual"/>
        </w:rPr>
      </w:pPr>
      <w:r>
        <w:rPr>
          <w:rFonts w:cs="Arial"/>
          <w:color w:val="000000" w:themeColor="text1"/>
          <w:kern w:val="2"/>
          <w:szCs w:val="24"/>
          <w:lang w:eastAsia="ar-SA"/>
          <w14:textFill>
            <w14:solidFill>
              <w14:schemeClr w14:val="tx1"/>
            </w14:solidFill>
          </w14:textFill>
          <w14:ligatures w14:val="standardContextual"/>
        </w:rPr>
        <w:t>Se realiza control de los limites e indicadores de gestión de acuerdo al Anexo N°2.</w:t>
      </w:r>
    </w:p>
    <w:p w14:paraId="3BFEE568">
      <w:pPr>
        <w:numPr>
          <w:ilvl w:val="0"/>
          <w:numId w:val="28"/>
        </w:numPr>
        <w:spacing w:line="256" w:lineRule="auto"/>
        <w:ind w:left="567" w:right="49" w:hanging="425"/>
        <w:contextualSpacing/>
        <w:jc w:val="both"/>
        <w:rPr>
          <w:rFonts w:cs="Arial"/>
          <w:color w:val="000000" w:themeColor="text1"/>
          <w:kern w:val="2"/>
          <w:szCs w:val="24"/>
          <w:lang w:eastAsia="ar-SA"/>
          <w14:textFill>
            <w14:solidFill>
              <w14:schemeClr w14:val="tx1"/>
            </w14:solidFill>
          </w14:textFill>
          <w14:ligatures w14:val="standardContextual"/>
        </w:rPr>
      </w:pPr>
      <w:r>
        <w:rPr>
          <w:rFonts w:cs="Arial"/>
          <w:color w:val="000000" w:themeColor="text1"/>
          <w:kern w:val="2"/>
          <w:szCs w:val="24"/>
          <w:lang w:eastAsia="ar-SA"/>
          <w14:textFill>
            <w14:solidFill>
              <w14:schemeClr w14:val="tx1"/>
            </w14:solidFill>
          </w14:textFill>
          <w14:ligatures w14:val="standardContextual"/>
        </w:rPr>
        <w:t>La cooperativa a definido su apetito de riesgo, el cual se encuentra en el Anexo N°3.</w:t>
      </w:r>
    </w:p>
    <w:p w14:paraId="3CB39049">
      <w:pPr>
        <w:numPr>
          <w:ilvl w:val="0"/>
          <w:numId w:val="28"/>
        </w:numPr>
        <w:spacing w:line="256" w:lineRule="auto"/>
        <w:ind w:left="567" w:right="49" w:hanging="425"/>
        <w:contextualSpacing/>
        <w:jc w:val="both"/>
        <w:rPr>
          <w:rFonts w:cs="Arial"/>
          <w:color w:val="000000" w:themeColor="text1"/>
          <w:kern w:val="2"/>
          <w:szCs w:val="24"/>
          <w:lang w:eastAsia="ar-SA"/>
          <w14:textFill>
            <w14:solidFill>
              <w14:schemeClr w14:val="tx1"/>
            </w14:solidFill>
          </w14:textFill>
          <w14:ligatures w14:val="standardContextual"/>
        </w:rPr>
      </w:pPr>
      <w:r>
        <w:rPr>
          <w:rFonts w:cs="Arial"/>
          <w:color w:val="000000" w:themeColor="text1"/>
          <w:kern w:val="2"/>
          <w:szCs w:val="24"/>
          <w:lang w:eastAsia="ar-SA"/>
          <w14:textFill>
            <w14:solidFill>
              <w14:schemeClr w14:val="tx1"/>
            </w14:solidFill>
          </w14:textFill>
          <w14:ligatures w14:val="standardContextual"/>
        </w:rPr>
        <w:t>Se ha definido el perfil de riesgo deudor en el otorgamiento.</w:t>
      </w:r>
    </w:p>
    <w:p w14:paraId="261DE08D">
      <w:pPr>
        <w:numPr>
          <w:ilvl w:val="0"/>
          <w:numId w:val="28"/>
        </w:numPr>
        <w:spacing w:line="256" w:lineRule="auto"/>
        <w:ind w:left="567" w:right="49" w:hanging="425"/>
        <w:contextualSpacing/>
        <w:jc w:val="both"/>
        <w:rPr>
          <w:rFonts w:cs="Arial"/>
          <w:color w:val="000000" w:themeColor="text1"/>
          <w:kern w:val="2"/>
          <w:szCs w:val="24"/>
          <w:lang w:eastAsia="ar-SA"/>
          <w14:textFill>
            <w14:solidFill>
              <w14:schemeClr w14:val="tx1"/>
            </w14:solidFill>
          </w14:textFill>
          <w14:ligatures w14:val="standardContextual"/>
        </w:rPr>
      </w:pPr>
      <w:r>
        <w:rPr>
          <w:rFonts w:cs="Arial"/>
          <w:color w:val="000000" w:themeColor="text1"/>
          <w:kern w:val="2"/>
          <w:szCs w:val="24"/>
          <w:lang w:eastAsia="ar-SA"/>
          <w14:textFill>
            <w14:solidFill>
              <w14:schemeClr w14:val="tx1"/>
            </w14:solidFill>
          </w14:textFill>
          <w14:ligatures w14:val="standardContextual"/>
        </w:rPr>
        <w:t>Se encuentran definidos los informes de monitoreo y seguimiento a la cartera.</w:t>
      </w:r>
    </w:p>
    <w:p w14:paraId="633C4A80">
      <w:pPr>
        <w:spacing w:line="256" w:lineRule="auto"/>
        <w:ind w:left="142" w:right="49"/>
        <w:contextualSpacing/>
        <w:rPr>
          <w:rFonts w:cs="Arial"/>
          <w:color w:val="000000" w:themeColor="text1"/>
          <w:kern w:val="2"/>
          <w:szCs w:val="24"/>
          <w:lang w:eastAsia="ar-SA"/>
          <w14:textFill>
            <w14:solidFill>
              <w14:schemeClr w14:val="tx1"/>
            </w14:solidFill>
          </w14:textFill>
          <w14:ligatures w14:val="standardContextual"/>
        </w:rPr>
      </w:pPr>
    </w:p>
    <w:p w14:paraId="1B030311">
      <w:pPr>
        <w:spacing w:line="256" w:lineRule="auto"/>
        <w:ind w:left="142" w:right="49"/>
        <w:jc w:val="both"/>
        <w:rPr>
          <w:rFonts w:eastAsia="Calibri" w:cs="Arial"/>
          <w:color w:val="000000" w:themeColor="text1"/>
          <w:szCs w:val="24"/>
          <w:lang w:eastAsia="ar-SA"/>
          <w14:textFill>
            <w14:solidFill>
              <w14:schemeClr w14:val="tx1"/>
            </w14:solidFill>
          </w14:textFill>
        </w:rPr>
      </w:pPr>
      <w:r>
        <w:rPr>
          <w:rFonts w:eastAsia="Calibri" w:cs="Arial"/>
          <w:color w:val="000000" w:themeColor="text1"/>
          <w:szCs w:val="24"/>
          <w:lang w:eastAsia="ar-SA"/>
          <w14:textFill>
            <w14:solidFill>
              <w14:schemeClr w14:val="tx1"/>
            </w14:solidFill>
          </w14:textFill>
        </w:rPr>
        <w:t>Dentro de otros controles, se encuentran los siguientes:</w:t>
      </w:r>
    </w:p>
    <w:p w14:paraId="5D997299">
      <w:pPr>
        <w:numPr>
          <w:ilvl w:val="0"/>
          <w:numId w:val="29"/>
        </w:numPr>
        <w:spacing w:line="254" w:lineRule="auto"/>
        <w:ind w:left="142" w:right="49" w:firstLine="0"/>
        <w:contextualSpacing/>
        <w:jc w:val="both"/>
        <w:rPr>
          <w:rFonts w:cs="Arial"/>
          <w:color w:val="000000" w:themeColor="text1"/>
          <w:kern w:val="2"/>
          <w:szCs w:val="24"/>
          <w:lang w:eastAsia="ar-SA"/>
          <w14:textFill>
            <w14:solidFill>
              <w14:schemeClr w14:val="tx1"/>
            </w14:solidFill>
          </w14:textFill>
          <w14:ligatures w14:val="standardContextual"/>
        </w:rPr>
      </w:pPr>
      <w:r>
        <w:rPr>
          <w:rFonts w:cs="Arial"/>
          <w:color w:val="000000" w:themeColor="text1"/>
          <w:kern w:val="2"/>
          <w:szCs w:val="24"/>
          <w:lang w:eastAsia="ar-SA"/>
          <w14:textFill>
            <w14:solidFill>
              <w14:schemeClr w14:val="tx1"/>
            </w14:solidFill>
          </w14:textFill>
          <w14:ligatures w14:val="standardContextual"/>
        </w:rPr>
        <w:t>Monitoreo a la cartera</w:t>
      </w:r>
    </w:p>
    <w:p w14:paraId="62CE4619">
      <w:pPr>
        <w:numPr>
          <w:ilvl w:val="0"/>
          <w:numId w:val="29"/>
        </w:numPr>
        <w:spacing w:line="254" w:lineRule="auto"/>
        <w:ind w:left="142" w:right="49" w:firstLine="0"/>
        <w:contextualSpacing/>
        <w:jc w:val="both"/>
        <w:rPr>
          <w:rFonts w:cs="Arial"/>
          <w:color w:val="000000" w:themeColor="text1"/>
          <w:kern w:val="2"/>
          <w:szCs w:val="24"/>
          <w:lang w:eastAsia="ar-SA"/>
          <w14:textFill>
            <w14:solidFill>
              <w14:schemeClr w14:val="tx1"/>
            </w14:solidFill>
          </w14:textFill>
          <w14:ligatures w14:val="standardContextual"/>
        </w:rPr>
      </w:pPr>
      <w:r>
        <w:rPr>
          <w:rFonts w:cs="Arial"/>
          <w:color w:val="000000" w:themeColor="text1"/>
          <w:kern w:val="2"/>
          <w:szCs w:val="24"/>
          <w:lang w:eastAsia="ar-SA"/>
          <w14:textFill>
            <w14:solidFill>
              <w14:schemeClr w14:val="tx1"/>
            </w14:solidFill>
          </w14:textFill>
          <w14:ligatures w14:val="standardContextual"/>
        </w:rPr>
        <w:t>Políticas definidas sobre la ubicación de las garantías</w:t>
      </w:r>
    </w:p>
    <w:p w14:paraId="1E642A37">
      <w:pPr>
        <w:numPr>
          <w:ilvl w:val="0"/>
          <w:numId w:val="29"/>
        </w:numPr>
        <w:spacing w:line="254" w:lineRule="auto"/>
        <w:ind w:left="142" w:right="49" w:firstLine="0"/>
        <w:contextualSpacing/>
        <w:jc w:val="both"/>
        <w:rPr>
          <w:rFonts w:cs="Arial"/>
          <w:color w:val="000000" w:themeColor="text1"/>
          <w:kern w:val="2"/>
          <w:szCs w:val="24"/>
          <w:lang w:eastAsia="ar-SA"/>
          <w14:textFill>
            <w14:solidFill>
              <w14:schemeClr w14:val="tx1"/>
            </w14:solidFill>
          </w14:textFill>
          <w14:ligatures w14:val="standardContextual"/>
        </w:rPr>
      </w:pPr>
      <w:r>
        <w:rPr>
          <w:rFonts w:cs="Arial"/>
          <w:color w:val="000000" w:themeColor="text1"/>
          <w:kern w:val="2"/>
          <w:szCs w:val="24"/>
          <w:lang w:eastAsia="ar-SA"/>
          <w14:textFill>
            <w14:solidFill>
              <w14:schemeClr w14:val="tx1"/>
            </w14:solidFill>
          </w14:textFill>
          <w14:ligatures w14:val="standardContextual"/>
        </w:rPr>
        <w:t>Políticas sobre actualización de avalúos</w:t>
      </w:r>
    </w:p>
    <w:p w14:paraId="03B4407F">
      <w:pPr>
        <w:numPr>
          <w:ilvl w:val="0"/>
          <w:numId w:val="29"/>
        </w:numPr>
        <w:spacing w:line="254" w:lineRule="auto"/>
        <w:ind w:left="142" w:right="49" w:firstLine="0"/>
        <w:contextualSpacing/>
        <w:jc w:val="both"/>
        <w:rPr>
          <w:rFonts w:cs="Arial"/>
          <w:color w:val="000000" w:themeColor="text1"/>
          <w:kern w:val="2"/>
          <w:szCs w:val="24"/>
          <w:lang w:eastAsia="ar-SA"/>
          <w14:textFill>
            <w14:solidFill>
              <w14:schemeClr w14:val="tx1"/>
            </w14:solidFill>
          </w14:textFill>
          <w14:ligatures w14:val="standardContextual"/>
        </w:rPr>
      </w:pPr>
      <w:r>
        <w:rPr>
          <w:rFonts w:cs="Arial"/>
          <w:color w:val="000000" w:themeColor="text1"/>
          <w:kern w:val="2"/>
          <w:szCs w:val="24"/>
          <w:lang w:eastAsia="ar-SA"/>
          <w14:textFill>
            <w14:solidFill>
              <w14:schemeClr w14:val="tx1"/>
            </w14:solidFill>
          </w14:textFill>
          <w14:ligatures w14:val="standardContextual"/>
        </w:rPr>
        <w:t>Criterios de otorgamiento</w:t>
      </w:r>
    </w:p>
    <w:p w14:paraId="351B0AAD">
      <w:pPr>
        <w:numPr>
          <w:ilvl w:val="0"/>
          <w:numId w:val="29"/>
        </w:numPr>
        <w:spacing w:line="254" w:lineRule="auto"/>
        <w:ind w:left="142" w:right="49" w:firstLine="0"/>
        <w:contextualSpacing/>
        <w:jc w:val="both"/>
        <w:rPr>
          <w:rFonts w:cs="Arial"/>
          <w:color w:val="000000" w:themeColor="text1"/>
          <w:kern w:val="2"/>
          <w:szCs w:val="24"/>
          <w:lang w:eastAsia="ar-SA"/>
          <w14:textFill>
            <w14:solidFill>
              <w14:schemeClr w14:val="tx1"/>
            </w14:solidFill>
          </w14:textFill>
          <w14:ligatures w14:val="standardContextual"/>
        </w:rPr>
      </w:pPr>
      <w:r>
        <w:rPr>
          <w:rFonts w:cs="Arial"/>
          <w:color w:val="000000" w:themeColor="text1"/>
          <w:kern w:val="2"/>
          <w:szCs w:val="24"/>
          <w:lang w:eastAsia="ar-SA"/>
          <w14:textFill>
            <w14:solidFill>
              <w14:schemeClr w14:val="tx1"/>
            </w14:solidFill>
          </w14:textFill>
          <w14:ligatures w14:val="standardContextual"/>
        </w:rPr>
        <w:t>Políticas frente a la solvencia – perfil deudor</w:t>
      </w:r>
    </w:p>
    <w:p w14:paraId="69754DB6">
      <w:pPr>
        <w:numPr>
          <w:ilvl w:val="0"/>
          <w:numId w:val="29"/>
        </w:numPr>
        <w:spacing w:line="254" w:lineRule="auto"/>
        <w:ind w:left="142" w:right="49" w:firstLine="0"/>
        <w:contextualSpacing/>
        <w:jc w:val="both"/>
        <w:rPr>
          <w:rFonts w:cs="Arial"/>
          <w:color w:val="000000" w:themeColor="text1"/>
          <w:kern w:val="2"/>
          <w:szCs w:val="24"/>
          <w:lang w:eastAsia="ar-SA"/>
          <w14:textFill>
            <w14:solidFill>
              <w14:schemeClr w14:val="tx1"/>
            </w14:solidFill>
          </w14:textFill>
          <w14:ligatures w14:val="standardContextual"/>
        </w:rPr>
      </w:pPr>
      <w:r>
        <w:rPr>
          <w:rFonts w:cs="Arial"/>
          <w:color w:val="000000" w:themeColor="text1"/>
          <w:kern w:val="2"/>
          <w:szCs w:val="24"/>
          <w:lang w:eastAsia="ar-SA"/>
          <w14:textFill>
            <w14:solidFill>
              <w14:schemeClr w14:val="tx1"/>
            </w14:solidFill>
          </w14:textFill>
          <w14:ligatures w14:val="standardContextual"/>
        </w:rPr>
        <w:t>Pólizas contra incendios y terremotos</w:t>
      </w:r>
    </w:p>
    <w:p w14:paraId="5433282A">
      <w:pPr>
        <w:numPr>
          <w:ilvl w:val="0"/>
          <w:numId w:val="29"/>
        </w:numPr>
        <w:spacing w:line="254" w:lineRule="auto"/>
        <w:ind w:left="142" w:right="49" w:firstLine="0"/>
        <w:contextualSpacing/>
        <w:jc w:val="both"/>
        <w:rPr>
          <w:rFonts w:cs="Arial"/>
          <w:color w:val="000000" w:themeColor="text1"/>
          <w:kern w:val="2"/>
          <w:szCs w:val="24"/>
          <w:lang w:eastAsia="ar-SA"/>
          <w14:textFill>
            <w14:solidFill>
              <w14:schemeClr w14:val="tx1"/>
            </w14:solidFill>
          </w14:textFill>
          <w14:ligatures w14:val="standardContextual"/>
        </w:rPr>
      </w:pPr>
      <w:r>
        <w:rPr>
          <w:rFonts w:cs="Arial"/>
          <w:color w:val="000000" w:themeColor="text1"/>
          <w:kern w:val="2"/>
          <w:szCs w:val="24"/>
          <w:lang w:eastAsia="ar-SA"/>
          <w14:textFill>
            <w14:solidFill>
              <w14:schemeClr w14:val="tx1"/>
            </w14:solidFill>
          </w14:textFill>
          <w14:ligatures w14:val="standardContextual"/>
        </w:rPr>
        <w:t>Políticas sobre coberturas</w:t>
      </w:r>
    </w:p>
    <w:p w14:paraId="4998C66C">
      <w:pPr>
        <w:spacing w:line="256" w:lineRule="auto"/>
        <w:ind w:left="142" w:right="49"/>
        <w:contextualSpacing/>
        <w:jc w:val="both"/>
        <w:rPr>
          <w:rFonts w:cs="Arial"/>
          <w:color w:val="000000" w:themeColor="text1"/>
          <w:kern w:val="2"/>
          <w:szCs w:val="24"/>
          <w:lang w:eastAsia="ar-SA"/>
          <w14:textFill>
            <w14:solidFill>
              <w14:schemeClr w14:val="tx1"/>
            </w14:solidFill>
          </w14:textFill>
          <w14:ligatures w14:val="standardContextual"/>
        </w:rPr>
      </w:pPr>
    </w:p>
    <w:p w14:paraId="0500FE0C">
      <w:pPr>
        <w:keepNext/>
        <w:numPr>
          <w:ilvl w:val="1"/>
          <w:numId w:val="1"/>
        </w:numPr>
        <w:spacing w:before="240" w:after="60" w:line="240" w:lineRule="auto"/>
        <w:ind w:left="142" w:right="49" w:firstLine="0"/>
        <w:jc w:val="both"/>
        <w:outlineLvl w:val="1"/>
        <w:rPr>
          <w:rFonts w:eastAsia="Times New Roman" w:cs="Arial"/>
          <w:b/>
          <w:bCs/>
          <w:color w:val="000000" w:themeColor="text1"/>
          <w:szCs w:val="24"/>
          <w:lang w:val="es-ES" w:eastAsia="es-ES" w:bidi="en-US"/>
          <w14:textFill>
            <w14:solidFill>
              <w14:schemeClr w14:val="tx1"/>
            </w14:solidFill>
          </w14:textFill>
        </w:rPr>
      </w:pPr>
      <w:bookmarkStart w:id="130" w:name="_Toc151443611"/>
      <w:bookmarkStart w:id="131" w:name="_Toc182642833"/>
      <w:r>
        <w:rPr>
          <w:rFonts w:eastAsia="Times New Roman" w:cs="Arial"/>
          <w:b/>
          <w:bCs/>
          <w:color w:val="000000" w:themeColor="text1"/>
          <w:szCs w:val="24"/>
          <w:lang w:val="es-ES" w:eastAsia="es-ES" w:bidi="en-US"/>
          <w14:textFill>
            <w14:solidFill>
              <w14:schemeClr w14:val="tx1"/>
            </w14:solidFill>
          </w14:textFill>
        </w:rPr>
        <w:t>Etapa De Monitoreo:</w:t>
      </w:r>
      <w:bookmarkEnd w:id="130"/>
      <w:bookmarkEnd w:id="131"/>
      <w:r>
        <w:rPr>
          <w:rFonts w:eastAsia="Times New Roman" w:cs="Arial"/>
          <w:b/>
          <w:bCs/>
          <w:color w:val="000000" w:themeColor="text1"/>
          <w:szCs w:val="24"/>
          <w:lang w:val="es-ES" w:eastAsia="es-ES" w:bidi="en-US"/>
          <w14:textFill>
            <w14:solidFill>
              <w14:schemeClr w14:val="tx1"/>
            </w14:solidFill>
          </w14:textFill>
        </w:rPr>
        <w:t xml:space="preserve"> </w:t>
      </w:r>
    </w:p>
    <w:p w14:paraId="121EB98D">
      <w:pPr>
        <w:spacing w:line="256" w:lineRule="auto"/>
        <w:ind w:left="142" w:right="49"/>
        <w:jc w:val="both"/>
        <w:rPr>
          <w:rFonts w:eastAsia="Calibri" w:cs="Arial"/>
          <w:color w:val="000000" w:themeColor="text1"/>
          <w:szCs w:val="24"/>
          <w:lang w:val="es-ES" w:eastAsia="es-ES" w:bidi="en-US"/>
          <w14:textFill>
            <w14:solidFill>
              <w14:schemeClr w14:val="tx1"/>
            </w14:solidFill>
          </w14:textFill>
        </w:rPr>
      </w:pPr>
    </w:p>
    <w:p w14:paraId="3FC109A0">
      <w:pPr>
        <w:spacing w:line="256" w:lineRule="auto"/>
        <w:ind w:left="142" w:right="49"/>
        <w:jc w:val="both"/>
        <w:rPr>
          <w:rFonts w:eastAsia="Calibri" w:cs="Arial"/>
          <w:color w:val="000000" w:themeColor="text1"/>
          <w:szCs w:val="24"/>
          <w:lang w:val="es-ES" w:eastAsia="es-ES" w:bidi="en-US"/>
          <w14:textFill>
            <w14:solidFill>
              <w14:schemeClr w14:val="tx1"/>
            </w14:solidFill>
          </w14:textFill>
        </w:rPr>
      </w:pPr>
      <w:r>
        <w:rPr>
          <w:rFonts w:eastAsia="Calibri" w:cs="Arial"/>
          <w:color w:val="000000" w:themeColor="text1"/>
          <w:szCs w:val="24"/>
          <w:lang w:val="es-ES" w:eastAsia="es-ES" w:bidi="en-US"/>
          <w14:textFill>
            <w14:solidFill>
              <w14:schemeClr w14:val="tx1"/>
            </w14:solidFill>
          </w14:textFill>
        </w:rPr>
        <w:t xml:space="preserve">Con el fin de garantizar una adecuada gestión de monitoreo, se establecen las siguientes políticas: </w:t>
      </w:r>
    </w:p>
    <w:p w14:paraId="6B9B09D4">
      <w:pPr>
        <w:numPr>
          <w:ilvl w:val="0"/>
          <w:numId w:val="30"/>
        </w:numPr>
        <w:spacing w:line="256" w:lineRule="auto"/>
        <w:ind w:left="142" w:right="49" w:firstLine="0"/>
        <w:contextualSpacing/>
        <w:jc w:val="both"/>
        <w:rPr>
          <w:rFonts w:cs="Arial"/>
          <w:color w:val="000000" w:themeColor="text1"/>
          <w:kern w:val="2"/>
          <w:szCs w:val="24"/>
          <w:lang w:val="es-ES" w:eastAsia="es-ES" w:bidi="en-US"/>
          <w14:textFill>
            <w14:solidFill>
              <w14:schemeClr w14:val="tx1"/>
            </w14:solidFill>
          </w14:textFill>
          <w14:ligatures w14:val="standardContextual"/>
        </w:rPr>
      </w:pPr>
      <w:r>
        <w:rPr>
          <w:rFonts w:cs="Arial"/>
          <w:color w:val="000000" w:themeColor="text1"/>
          <w:kern w:val="2"/>
          <w:szCs w:val="24"/>
          <w:lang w:val="es-ES" w:eastAsia="es-ES" w:bidi="en-US"/>
          <w14:textFill>
            <w14:solidFill>
              <w14:schemeClr w14:val="tx1"/>
            </w14:solidFill>
          </w14:textFill>
          <w14:ligatures w14:val="standardContextual"/>
        </w:rPr>
        <w:t>Se realizarán informes de seguimiento que permitan el adecuado monitoreo de la cartera y la gestión del riesgo de crédito:</w:t>
      </w:r>
    </w:p>
    <w:p w14:paraId="35D4E787">
      <w:pPr>
        <w:spacing w:line="256" w:lineRule="auto"/>
        <w:ind w:left="142" w:right="49"/>
        <w:contextualSpacing/>
        <w:jc w:val="both"/>
        <w:rPr>
          <w:rFonts w:cs="Arial"/>
          <w:color w:val="000000" w:themeColor="text1"/>
          <w:kern w:val="2"/>
          <w:szCs w:val="24"/>
          <w:lang w:val="es-ES" w:eastAsia="es-ES" w:bidi="en-US"/>
          <w14:textFill>
            <w14:solidFill>
              <w14:schemeClr w14:val="tx1"/>
            </w14:solidFill>
          </w14:textFill>
          <w14:ligatures w14:val="standardContextual"/>
        </w:rPr>
      </w:pPr>
    </w:p>
    <w:p w14:paraId="43C2F3E5">
      <w:pPr>
        <w:numPr>
          <w:ilvl w:val="0"/>
          <w:numId w:val="31"/>
        </w:numPr>
        <w:spacing w:line="256" w:lineRule="auto"/>
        <w:ind w:left="142" w:right="49" w:firstLine="0"/>
        <w:contextualSpacing/>
        <w:jc w:val="both"/>
        <w:rPr>
          <w:rFonts w:cs="Arial"/>
          <w:color w:val="000000" w:themeColor="text1"/>
          <w:kern w:val="2"/>
          <w:szCs w:val="24"/>
          <w:lang w:val="es-ES" w:eastAsia="es-ES" w:bidi="en-US"/>
          <w14:textFill>
            <w14:solidFill>
              <w14:schemeClr w14:val="tx1"/>
            </w14:solidFill>
          </w14:textFill>
          <w14:ligatures w14:val="standardContextual"/>
        </w:rPr>
      </w:pPr>
      <w:r>
        <w:rPr>
          <w:rFonts w:cs="Arial"/>
          <w:color w:val="000000" w:themeColor="text1"/>
          <w:kern w:val="2"/>
          <w:szCs w:val="24"/>
          <w:lang w:val="es-ES" w:eastAsia="es-ES" w:bidi="en-US"/>
          <w14:textFill>
            <w14:solidFill>
              <w14:schemeClr w14:val="tx1"/>
            </w14:solidFill>
          </w14:textFill>
          <w14:ligatures w14:val="standardContextual"/>
        </w:rPr>
        <w:t>Informe de seguimientos según las políticas de aprobación, créditos exceptuados.</w:t>
      </w:r>
    </w:p>
    <w:p w14:paraId="29136778">
      <w:pPr>
        <w:numPr>
          <w:ilvl w:val="0"/>
          <w:numId w:val="31"/>
        </w:numPr>
        <w:spacing w:line="256" w:lineRule="auto"/>
        <w:ind w:left="142" w:right="49" w:firstLine="0"/>
        <w:contextualSpacing/>
        <w:jc w:val="both"/>
        <w:rPr>
          <w:rFonts w:cs="Arial"/>
          <w:color w:val="000000" w:themeColor="text1"/>
          <w:kern w:val="2"/>
          <w:szCs w:val="24"/>
          <w:lang w:val="es-ES" w:eastAsia="es-ES" w:bidi="en-US"/>
          <w14:textFill>
            <w14:solidFill>
              <w14:schemeClr w14:val="tx1"/>
            </w14:solidFill>
          </w14:textFill>
          <w14:ligatures w14:val="standardContextual"/>
        </w:rPr>
      </w:pPr>
      <w:r>
        <w:rPr>
          <w:rFonts w:cs="Arial"/>
          <w:color w:val="000000" w:themeColor="text1"/>
          <w:kern w:val="2"/>
          <w:szCs w:val="24"/>
          <w:lang w:val="es-ES" w:eastAsia="es-ES" w:bidi="en-US"/>
          <w14:textFill>
            <w14:solidFill>
              <w14:schemeClr w14:val="tx1"/>
            </w14:solidFill>
          </w14:textFill>
          <w14:ligatures w14:val="standardContextual"/>
        </w:rPr>
        <w:t>Informe de seguimiento de la cartera, con el fin de determinar los segmentos donde hay más deterioro.</w:t>
      </w:r>
    </w:p>
    <w:p w14:paraId="687520D0">
      <w:pPr>
        <w:numPr>
          <w:ilvl w:val="0"/>
          <w:numId w:val="31"/>
        </w:numPr>
        <w:spacing w:line="256" w:lineRule="auto"/>
        <w:ind w:left="142" w:right="49" w:firstLine="0"/>
        <w:contextualSpacing/>
        <w:jc w:val="both"/>
        <w:rPr>
          <w:rFonts w:cs="Arial"/>
          <w:color w:val="000000" w:themeColor="text1"/>
          <w:kern w:val="2"/>
          <w:szCs w:val="24"/>
          <w:lang w:val="es-ES" w:eastAsia="es-ES" w:bidi="en-US"/>
          <w14:textFill>
            <w14:solidFill>
              <w14:schemeClr w14:val="tx1"/>
            </w14:solidFill>
          </w14:textFill>
          <w14:ligatures w14:val="standardContextual"/>
        </w:rPr>
      </w:pPr>
      <w:r>
        <w:rPr>
          <w:rFonts w:cs="Arial"/>
          <w:color w:val="000000" w:themeColor="text1"/>
          <w:kern w:val="2"/>
          <w:szCs w:val="24"/>
          <w:lang w:val="es-ES" w:eastAsia="es-ES" w:bidi="en-US"/>
          <w14:textFill>
            <w14:solidFill>
              <w14:schemeClr w14:val="tx1"/>
            </w14:solidFill>
          </w14:textFill>
          <w14:ligatures w14:val="standardContextual"/>
        </w:rPr>
        <w:t>Monitorear e informar sobre los indicadores, límites y apetito de riesgo</w:t>
      </w:r>
    </w:p>
    <w:p w14:paraId="7078AA92">
      <w:pPr>
        <w:numPr>
          <w:ilvl w:val="0"/>
          <w:numId w:val="31"/>
        </w:numPr>
        <w:spacing w:line="256" w:lineRule="auto"/>
        <w:ind w:left="142" w:right="49" w:firstLine="0"/>
        <w:contextualSpacing/>
        <w:jc w:val="both"/>
        <w:rPr>
          <w:rFonts w:cs="Arial"/>
          <w:color w:val="000000" w:themeColor="text1"/>
          <w:kern w:val="2"/>
          <w:szCs w:val="24"/>
          <w:lang w:val="es-ES" w:eastAsia="es-ES" w:bidi="en-US"/>
          <w14:textFill>
            <w14:solidFill>
              <w14:schemeClr w14:val="tx1"/>
            </w14:solidFill>
          </w14:textFill>
          <w14:ligatures w14:val="standardContextual"/>
        </w:rPr>
      </w:pPr>
      <w:r>
        <w:rPr>
          <w:rFonts w:cs="Arial"/>
          <w:bCs/>
          <w:color w:val="000000" w:themeColor="text1"/>
          <w:kern w:val="2"/>
          <w:szCs w:val="24"/>
          <w14:textFill>
            <w14:solidFill>
              <w14:schemeClr w14:val="tx1"/>
            </w14:solidFill>
          </w14:textFill>
          <w14:ligatures w14:val="standardContextual"/>
        </w:rPr>
        <w:t xml:space="preserve">Monitorear e informar el comportamiento de cartera y nivel de exposición al riesgo de las operaciones de crédito </w:t>
      </w:r>
      <w:r>
        <w:rPr>
          <w:rFonts w:cs="Arial"/>
          <w:color w:val="000000" w:themeColor="text1"/>
          <w:kern w:val="2"/>
          <w:szCs w:val="24"/>
          <w:lang w:bidi="en-US"/>
          <w14:textFill>
            <w14:solidFill>
              <w14:schemeClr w14:val="tx1"/>
            </w14:solidFill>
          </w14:textFill>
          <w14:ligatures w14:val="standardContextual"/>
        </w:rPr>
        <w:t>a asociados, administradores, miembros de juntas de vigilancia y sus parientes</w:t>
      </w:r>
      <w:r>
        <w:rPr>
          <w:rFonts w:cs="Arial"/>
          <w:b/>
          <w:color w:val="000000" w:themeColor="text1"/>
          <w:kern w:val="2"/>
          <w:szCs w:val="24"/>
          <w:lang w:eastAsia="ar-SA"/>
          <w14:textFill>
            <w14:solidFill>
              <w14:schemeClr w14:val="tx1"/>
            </w14:solidFill>
          </w14:textFill>
          <w14:ligatures w14:val="standardContextual"/>
        </w:rPr>
        <w:t xml:space="preserve">, </w:t>
      </w:r>
      <w:r>
        <w:rPr>
          <w:rFonts w:cs="Arial"/>
          <w:color w:val="000000" w:themeColor="text1"/>
          <w:kern w:val="2"/>
          <w:szCs w:val="24"/>
          <w:lang w:bidi="en-US"/>
          <w14:textFill>
            <w14:solidFill>
              <w14:schemeClr w14:val="tx1"/>
            </w14:solidFill>
          </w14:textFill>
          <w14:ligatures w14:val="standardContextual"/>
        </w:rPr>
        <w:t>a que se refiere el artículo 61, de la Ley 454 de 1998, modificado por el artículo 109 de la Ley 795 de 2003</w:t>
      </w:r>
      <w:r>
        <w:rPr>
          <w:rFonts w:cs="Arial"/>
          <w:bCs/>
          <w:color w:val="000000" w:themeColor="text1"/>
          <w:kern w:val="2"/>
          <w:szCs w:val="24"/>
          <w14:textFill>
            <w14:solidFill>
              <w14:schemeClr w14:val="tx1"/>
            </w14:solidFill>
          </w14:textFill>
          <w14:ligatures w14:val="standardContextual"/>
        </w:rPr>
        <w:t>.</w:t>
      </w:r>
    </w:p>
    <w:p w14:paraId="6034892A">
      <w:pPr>
        <w:numPr>
          <w:ilvl w:val="0"/>
          <w:numId w:val="31"/>
        </w:numPr>
        <w:spacing w:line="256" w:lineRule="auto"/>
        <w:ind w:left="142" w:right="49" w:firstLine="0"/>
        <w:contextualSpacing/>
        <w:jc w:val="both"/>
        <w:rPr>
          <w:rFonts w:cs="Arial"/>
          <w:color w:val="000000" w:themeColor="text1"/>
          <w:kern w:val="2"/>
          <w:szCs w:val="24"/>
          <w:lang w:val="es-ES" w:eastAsia="es-ES" w:bidi="en-US"/>
          <w14:textFill>
            <w14:solidFill>
              <w14:schemeClr w14:val="tx1"/>
            </w14:solidFill>
          </w14:textFill>
          <w14:ligatures w14:val="standardContextual"/>
        </w:rPr>
      </w:pPr>
      <w:r>
        <w:rPr>
          <w:rFonts w:cs="Arial"/>
          <w:bCs/>
          <w:color w:val="000000" w:themeColor="text1"/>
          <w:kern w:val="2"/>
          <w:szCs w:val="24"/>
          <w14:textFill>
            <w14:solidFill>
              <w14:schemeClr w14:val="tx1"/>
            </w14:solidFill>
          </w14:textFill>
          <w14:ligatures w14:val="standardContextual"/>
        </w:rPr>
        <w:t>Monitorear e informar a las operaciones de crédito con las partes vinculadas.</w:t>
      </w:r>
    </w:p>
    <w:p w14:paraId="5A7F0046">
      <w:pPr>
        <w:numPr>
          <w:ilvl w:val="0"/>
          <w:numId w:val="31"/>
        </w:numPr>
        <w:spacing w:line="256" w:lineRule="auto"/>
        <w:ind w:left="142" w:right="49" w:firstLine="0"/>
        <w:contextualSpacing/>
        <w:jc w:val="both"/>
        <w:rPr>
          <w:rFonts w:cs="Arial"/>
          <w:color w:val="000000" w:themeColor="text1"/>
          <w:kern w:val="2"/>
          <w:szCs w:val="24"/>
          <w:lang w:val="es-ES" w:eastAsia="es-ES" w:bidi="en-US"/>
          <w14:textFill>
            <w14:solidFill>
              <w14:schemeClr w14:val="tx1"/>
            </w14:solidFill>
          </w14:textFill>
          <w14:ligatures w14:val="standardContextual"/>
        </w:rPr>
      </w:pPr>
      <w:r>
        <w:rPr>
          <w:rFonts w:cs="Arial"/>
          <w:color w:val="000000" w:themeColor="text1"/>
          <w:kern w:val="2"/>
          <w:szCs w:val="24"/>
          <w:lang w:val="es-ES" w:eastAsia="es-ES" w:bidi="en-US"/>
          <w14:textFill>
            <w14:solidFill>
              <w14:schemeClr w14:val="tx1"/>
            </w14:solidFill>
          </w14:textFill>
          <w14:ligatures w14:val="standardContextual"/>
        </w:rPr>
        <w:t>Monitorear e informar al comportamiento de la cartera de las operaciones reestructuradas y novadas</w:t>
      </w:r>
    </w:p>
    <w:p w14:paraId="3D603F24">
      <w:pPr>
        <w:spacing w:line="256" w:lineRule="auto"/>
        <w:ind w:left="142" w:right="49"/>
        <w:contextualSpacing/>
        <w:jc w:val="both"/>
        <w:rPr>
          <w:rFonts w:cs="Arial"/>
          <w:color w:val="000000" w:themeColor="text1"/>
          <w:kern w:val="2"/>
          <w:szCs w:val="24"/>
          <w:lang w:val="es-ES" w:eastAsia="es-ES" w:bidi="en-US"/>
          <w14:textFill>
            <w14:solidFill>
              <w14:schemeClr w14:val="tx1"/>
            </w14:solidFill>
          </w14:textFill>
          <w14:ligatures w14:val="standardContextual"/>
        </w:rPr>
      </w:pPr>
    </w:p>
    <w:p w14:paraId="3063121C">
      <w:pPr>
        <w:numPr>
          <w:ilvl w:val="0"/>
          <w:numId w:val="30"/>
        </w:numPr>
        <w:spacing w:line="256" w:lineRule="auto"/>
        <w:ind w:left="142" w:right="49" w:firstLine="0"/>
        <w:contextualSpacing/>
        <w:jc w:val="both"/>
        <w:rPr>
          <w:rFonts w:cs="Arial"/>
          <w:color w:val="000000" w:themeColor="text1"/>
          <w:kern w:val="2"/>
          <w:szCs w:val="24"/>
          <w:lang w:val="es-ES" w:eastAsia="es-ES" w:bidi="en-US"/>
          <w14:textFill>
            <w14:solidFill>
              <w14:schemeClr w14:val="tx1"/>
            </w14:solidFill>
          </w14:textFill>
          <w14:ligatures w14:val="standardContextual"/>
        </w:rPr>
      </w:pPr>
      <w:r>
        <w:rPr>
          <w:rFonts w:cs="Arial"/>
          <w:color w:val="000000" w:themeColor="text1"/>
          <w:kern w:val="2"/>
          <w:szCs w:val="24"/>
          <w:lang w:val="es-ES" w:eastAsia="es-ES" w:bidi="en-US"/>
          <w14:textFill>
            <w14:solidFill>
              <w14:schemeClr w14:val="tx1"/>
            </w14:solidFill>
          </w14:textFill>
          <w14:ligatures w14:val="standardContextual"/>
        </w:rPr>
        <w:t>El encargado de riesgos realizara pruebas de Backtesting a los modelos de seguimiento (metodología de evaluación) como mínimo una vez al año y los resultados serán presentados al comité de riesgos y este a su vez al consejo de administración.</w:t>
      </w:r>
    </w:p>
    <w:p w14:paraId="63BA8154">
      <w:pPr>
        <w:spacing w:line="256" w:lineRule="auto"/>
        <w:ind w:left="142" w:right="49"/>
        <w:contextualSpacing/>
        <w:jc w:val="both"/>
        <w:rPr>
          <w:rFonts w:cs="Arial"/>
          <w:color w:val="000000" w:themeColor="text1"/>
          <w:kern w:val="2"/>
          <w:szCs w:val="24"/>
          <w:lang w:val="es-ES" w:eastAsia="es-ES" w:bidi="en-US"/>
          <w14:textFill>
            <w14:solidFill>
              <w14:schemeClr w14:val="tx1"/>
            </w14:solidFill>
          </w14:textFill>
          <w14:ligatures w14:val="standardContextual"/>
        </w:rPr>
      </w:pPr>
    </w:p>
    <w:p w14:paraId="05006676">
      <w:pPr>
        <w:numPr>
          <w:ilvl w:val="0"/>
          <w:numId w:val="30"/>
        </w:numPr>
        <w:spacing w:line="256" w:lineRule="auto"/>
        <w:ind w:left="142" w:right="49" w:firstLine="0"/>
        <w:contextualSpacing/>
        <w:jc w:val="both"/>
        <w:rPr>
          <w:rFonts w:cs="Arial"/>
          <w:color w:val="000000" w:themeColor="text1"/>
          <w:kern w:val="2"/>
          <w:szCs w:val="24"/>
          <w:lang w:val="es-ES" w:eastAsia="es-ES" w:bidi="en-US"/>
          <w14:textFill>
            <w14:solidFill>
              <w14:schemeClr w14:val="tx1"/>
            </w14:solidFill>
          </w14:textFill>
          <w14:ligatures w14:val="standardContextual"/>
        </w:rPr>
      </w:pPr>
      <w:r>
        <w:rPr>
          <w:rFonts w:cs="Arial"/>
          <w:color w:val="000000" w:themeColor="text1"/>
          <w:kern w:val="2"/>
          <w:szCs w:val="24"/>
          <w:lang w:val="es-ES" w:eastAsia="es-ES" w:bidi="en-US"/>
          <w14:textFill>
            <w14:solidFill>
              <w14:schemeClr w14:val="tx1"/>
            </w14:solidFill>
          </w14:textFill>
          <w14:ligatures w14:val="standardContextual"/>
        </w:rPr>
        <w:t>Se realizarán pruebas de stress sobre la cartera.</w:t>
      </w:r>
    </w:p>
    <w:p w14:paraId="7B676267">
      <w:pPr>
        <w:spacing w:line="256" w:lineRule="auto"/>
        <w:ind w:left="142" w:right="49"/>
        <w:contextualSpacing/>
        <w:jc w:val="both"/>
        <w:rPr>
          <w:rFonts w:cs="Arial"/>
          <w:color w:val="000000" w:themeColor="text1"/>
          <w:kern w:val="2"/>
          <w:szCs w:val="24"/>
          <w:lang w:val="es-ES" w:eastAsia="es-ES" w:bidi="en-US"/>
          <w14:textFill>
            <w14:solidFill>
              <w14:schemeClr w14:val="tx1"/>
            </w14:solidFill>
          </w14:textFill>
          <w14:ligatures w14:val="standardContextual"/>
        </w:rPr>
      </w:pPr>
    </w:p>
    <w:p w14:paraId="483709B2">
      <w:pPr>
        <w:numPr>
          <w:ilvl w:val="0"/>
          <w:numId w:val="30"/>
        </w:numPr>
        <w:spacing w:line="256" w:lineRule="auto"/>
        <w:ind w:left="142" w:right="49" w:firstLine="0"/>
        <w:contextualSpacing/>
        <w:jc w:val="both"/>
        <w:rPr>
          <w:rFonts w:cs="Arial"/>
          <w:color w:val="000000" w:themeColor="text1"/>
          <w:kern w:val="2"/>
          <w:szCs w:val="24"/>
          <w:lang w:val="es-ES" w:eastAsia="es-ES" w:bidi="en-US"/>
          <w14:textFill>
            <w14:solidFill>
              <w14:schemeClr w14:val="tx1"/>
            </w14:solidFill>
          </w14:textFill>
          <w14:ligatures w14:val="standardContextual"/>
        </w:rPr>
      </w:pPr>
      <w:r>
        <w:rPr>
          <w:rFonts w:cs="Arial"/>
          <w:color w:val="000000" w:themeColor="text1"/>
          <w:kern w:val="2"/>
          <w:szCs w:val="24"/>
          <w:lang w:val="es-ES" w:eastAsia="es-ES" w:bidi="en-US"/>
          <w14:textFill>
            <w14:solidFill>
              <w14:schemeClr w14:val="tx1"/>
            </w14:solidFill>
          </w14:textFill>
          <w14:ligatures w14:val="standardContextual"/>
        </w:rPr>
        <w:t>Los reportes se encuentran evidenciados en el numeral 20 del presente manual.</w:t>
      </w:r>
    </w:p>
    <w:p w14:paraId="027BCA4F">
      <w:pPr>
        <w:spacing w:line="256" w:lineRule="auto"/>
        <w:ind w:left="142" w:right="49"/>
        <w:contextualSpacing/>
        <w:jc w:val="both"/>
        <w:rPr>
          <w:rFonts w:cs="Arial"/>
          <w:color w:val="000000" w:themeColor="text1"/>
          <w:kern w:val="2"/>
          <w:szCs w:val="24"/>
          <w:lang w:val="es-ES" w:eastAsia="es-ES" w:bidi="en-US"/>
          <w14:textFill>
            <w14:solidFill>
              <w14:schemeClr w14:val="tx1"/>
            </w14:solidFill>
          </w14:textFill>
          <w14:ligatures w14:val="standardContextual"/>
        </w:rPr>
      </w:pPr>
    </w:p>
    <w:p w14:paraId="620CE79A">
      <w:pPr>
        <w:spacing w:line="256" w:lineRule="auto"/>
        <w:ind w:left="142" w:right="49"/>
        <w:jc w:val="both"/>
        <w:rPr>
          <w:rFonts w:eastAsia="Calibri" w:cs="Arial"/>
          <w:color w:val="000000" w:themeColor="text1"/>
          <w:szCs w:val="24"/>
          <w:lang w:val="es-ES" w:eastAsia="es-ES" w:bidi="en-US"/>
          <w14:textFill>
            <w14:solidFill>
              <w14:schemeClr w14:val="tx1"/>
            </w14:solidFill>
          </w14:textFill>
        </w:rPr>
      </w:pPr>
      <w:r>
        <w:rPr>
          <w:rFonts w:eastAsia="Calibri" w:cs="Arial"/>
          <w:color w:val="000000" w:themeColor="text1"/>
          <w:szCs w:val="24"/>
          <w:lang w:val="es-ES" w:eastAsia="es-ES" w:bidi="en-US"/>
          <w14:textFill>
            <w14:solidFill>
              <w14:schemeClr w14:val="tx1"/>
            </w14:solidFill>
          </w14:textFill>
        </w:rPr>
        <w:t xml:space="preserve">Cuando de las actividades de monitoreo se generen recomendaciones y/o implementación de estrategias, el seguimiento y resultados de las mismas deberán ser presentados al comité de riesgos, de acuerdo a las fechas establecidas o en forma mensual según corresponda. </w:t>
      </w:r>
    </w:p>
    <w:p w14:paraId="241DF3EA">
      <w:pPr>
        <w:numPr>
          <w:ilvl w:val="0"/>
          <w:numId w:val="30"/>
        </w:numPr>
        <w:spacing w:line="256" w:lineRule="auto"/>
        <w:ind w:left="142" w:right="49" w:firstLine="0"/>
        <w:contextualSpacing/>
        <w:jc w:val="both"/>
        <w:rPr>
          <w:rFonts w:cs="Arial"/>
          <w:color w:val="000000" w:themeColor="text1"/>
          <w:kern w:val="2"/>
          <w:szCs w:val="24"/>
          <w:lang w:val="es-ES" w:eastAsia="es-ES" w:bidi="en-US"/>
          <w14:textFill>
            <w14:solidFill>
              <w14:schemeClr w14:val="tx1"/>
            </w14:solidFill>
          </w14:textFill>
          <w14:ligatures w14:val="standardContextual"/>
        </w:rPr>
      </w:pPr>
      <w:r>
        <w:rPr>
          <w:rFonts w:cs="Arial"/>
          <w:color w:val="000000" w:themeColor="text1"/>
          <w:kern w:val="2"/>
          <w:szCs w:val="24"/>
          <w:lang w:val="es-ES" w:eastAsia="es-ES" w:bidi="en-US"/>
          <w14:textFill>
            <w14:solidFill>
              <w14:schemeClr w14:val="tx1"/>
            </w14:solidFill>
          </w14:textFill>
          <w14:ligatures w14:val="standardContextual"/>
        </w:rPr>
        <w:t>Las demás actividades de seguimiento se encuentran establecidas en el numeral 17.1 del presente manual.</w:t>
      </w:r>
    </w:p>
    <w:p w14:paraId="3F8F394F">
      <w:pPr>
        <w:jc w:val="both"/>
        <w:rPr>
          <w:rFonts w:cs="Arial"/>
          <w:szCs w:val="24"/>
          <w:lang w:val="es-ES"/>
        </w:rPr>
      </w:pPr>
    </w:p>
    <w:p w14:paraId="0008CFE3">
      <w:pPr>
        <w:jc w:val="both"/>
        <w:rPr>
          <w:rFonts w:cs="Arial"/>
          <w:szCs w:val="24"/>
          <w:lang w:val="es-ES"/>
        </w:rPr>
      </w:pPr>
    </w:p>
    <w:p w14:paraId="64F3DB7F">
      <w:pPr>
        <w:jc w:val="both"/>
        <w:rPr>
          <w:rFonts w:cs="Arial"/>
          <w:szCs w:val="24"/>
          <w:lang w:val="es-ES"/>
        </w:rPr>
      </w:pPr>
    </w:p>
    <w:p w14:paraId="640DA493">
      <w:pPr>
        <w:jc w:val="both"/>
        <w:rPr>
          <w:rFonts w:cs="Arial"/>
          <w:szCs w:val="24"/>
          <w:lang w:val="es-ES"/>
        </w:rPr>
      </w:pPr>
    </w:p>
    <w:p w14:paraId="2380FFB6">
      <w:pPr>
        <w:jc w:val="both"/>
        <w:rPr>
          <w:rFonts w:cs="Arial"/>
          <w:szCs w:val="24"/>
          <w:lang w:val="es-ES"/>
        </w:rPr>
      </w:pPr>
    </w:p>
    <w:p w14:paraId="0CAF7CDC">
      <w:pPr>
        <w:jc w:val="both"/>
        <w:rPr>
          <w:rFonts w:cs="Arial"/>
          <w:szCs w:val="24"/>
          <w:lang w:val="es-ES"/>
        </w:rPr>
      </w:pPr>
    </w:p>
    <w:p w14:paraId="4B32CCAC">
      <w:pPr>
        <w:jc w:val="both"/>
        <w:rPr>
          <w:rFonts w:cs="Arial"/>
          <w:szCs w:val="24"/>
          <w:lang w:val="es-ES"/>
        </w:rPr>
      </w:pPr>
    </w:p>
    <w:p w14:paraId="76116EC8">
      <w:pPr>
        <w:jc w:val="both"/>
        <w:rPr>
          <w:rFonts w:cs="Arial"/>
          <w:szCs w:val="24"/>
          <w:lang w:val="es-ES"/>
        </w:rPr>
      </w:pPr>
    </w:p>
    <w:p w14:paraId="7FB5B1B3">
      <w:pPr>
        <w:jc w:val="both"/>
        <w:rPr>
          <w:rFonts w:cs="Arial"/>
          <w:szCs w:val="24"/>
          <w:lang w:val="es-ES"/>
        </w:rPr>
      </w:pPr>
    </w:p>
    <w:p w14:paraId="57B905D6">
      <w:pPr>
        <w:jc w:val="both"/>
        <w:rPr>
          <w:rFonts w:cs="Arial"/>
          <w:szCs w:val="24"/>
          <w:lang w:val="es-ES"/>
        </w:rPr>
      </w:pPr>
    </w:p>
    <w:p w14:paraId="59D66B98">
      <w:pPr>
        <w:jc w:val="both"/>
        <w:rPr>
          <w:rFonts w:cs="Arial"/>
          <w:szCs w:val="24"/>
          <w:lang w:val="es-ES"/>
        </w:rPr>
      </w:pPr>
    </w:p>
    <w:p w14:paraId="6B4E1BFB">
      <w:pPr>
        <w:jc w:val="both"/>
        <w:rPr>
          <w:rFonts w:cs="Arial"/>
          <w:szCs w:val="24"/>
          <w:lang w:val="es-ES"/>
        </w:rPr>
      </w:pPr>
    </w:p>
    <w:p w14:paraId="0F2022F0">
      <w:pPr>
        <w:jc w:val="both"/>
        <w:rPr>
          <w:rFonts w:cs="Arial"/>
          <w:szCs w:val="24"/>
          <w:lang w:val="es-ES"/>
        </w:rPr>
      </w:pPr>
    </w:p>
    <w:p w14:paraId="714B78BB">
      <w:pPr>
        <w:jc w:val="both"/>
        <w:rPr>
          <w:rFonts w:cs="Arial"/>
          <w:szCs w:val="24"/>
          <w:lang w:val="es-ES"/>
        </w:rPr>
      </w:pPr>
    </w:p>
    <w:p w14:paraId="5B740ED7">
      <w:pPr>
        <w:pStyle w:val="2"/>
        <w:rPr>
          <w:rFonts w:eastAsia="Times New Roman"/>
        </w:rPr>
      </w:pPr>
      <w:bookmarkStart w:id="132" w:name="_Toc182642834"/>
      <w:bookmarkStart w:id="133" w:name="_Toc151443612"/>
      <w:r>
        <w:rPr>
          <w:rFonts w:eastAsia="Times New Roman"/>
        </w:rPr>
        <w:t>POLITICAS DE OTORGAMIENTO PERSONAS NATURALES</w:t>
      </w:r>
      <w:bookmarkEnd w:id="132"/>
      <w:bookmarkEnd w:id="133"/>
    </w:p>
    <w:p w14:paraId="0E6A2686">
      <w:pPr>
        <w:spacing w:line="256" w:lineRule="auto"/>
        <w:ind w:left="142" w:right="49"/>
        <w:jc w:val="both"/>
        <w:rPr>
          <w:rFonts w:eastAsia="Calibri" w:cs="Arial"/>
          <w:b/>
          <w:bCs/>
          <w:color w:val="000000" w:themeColor="text1"/>
          <w:szCs w:val="24"/>
          <w14:textFill>
            <w14:solidFill>
              <w14:schemeClr w14:val="tx1"/>
            </w14:solidFill>
          </w14:textFill>
        </w:rPr>
      </w:pPr>
      <w:r>
        <w:rPr>
          <w:rFonts w:eastAsia="Calibri" w:cs="Arial"/>
          <w:color w:val="000000" w:themeColor="text1"/>
          <w:szCs w:val="24"/>
          <w14:textFill>
            <w14:solidFill>
              <w14:schemeClr w14:val="tx1"/>
            </w14:solidFill>
          </w14:textFill>
        </w:rPr>
        <w:t>La política de crédito aclara las reglas y procedimientos para la ejecución de las actividades de crédito, las cuales vienen a establecer un marco de trabajo y una guía para la toma de decisiones en forma consistente, encaminadas hacia el logro de los fines establecidos por la cooperativa para la función de crédito.</w:t>
      </w:r>
    </w:p>
    <w:p w14:paraId="1954A30C">
      <w:pPr>
        <w:spacing w:line="256" w:lineRule="auto"/>
        <w:ind w:left="142" w:right="49"/>
        <w:jc w:val="both"/>
        <w:rPr>
          <w:rFonts w:eastAsia="Calibri" w:cs="Arial"/>
          <w:color w:val="000000" w:themeColor="text1"/>
          <w:spacing w:val="-3"/>
          <w:szCs w:val="24"/>
          <w14:textFill>
            <w14:solidFill>
              <w14:schemeClr w14:val="tx1"/>
            </w14:solidFill>
          </w14:textFill>
        </w:rPr>
      </w:pPr>
      <w:r>
        <w:rPr>
          <w:rFonts w:eastAsia="Calibri" w:cs="Arial"/>
          <w:color w:val="000000" w:themeColor="text1"/>
          <w:spacing w:val="-3"/>
          <w:szCs w:val="24"/>
          <w14:textFill>
            <w14:solidFill>
              <w14:schemeClr w14:val="tx1"/>
            </w14:solidFill>
          </w14:textFill>
        </w:rPr>
        <w:t xml:space="preserve">Tendrán derecho a disfrutar de los servicios de crédito  de COOPCALLEJONA todas las personas naturales y jurídicas asociadas  que a la fecha de la solicitud se encuentran al día en el cumplimiento de las obligaciones contraídas para con la Cooperativa, sean ASOCIADOS hábiles de </w:t>
      </w:r>
      <w:r>
        <w:rPr>
          <w:rFonts w:eastAsia="Calibri" w:cs="Arial"/>
          <w:b/>
          <w:color w:val="000000" w:themeColor="text1"/>
          <w:spacing w:val="-3"/>
          <w:szCs w:val="24"/>
          <w14:textFill>
            <w14:solidFill>
              <w14:schemeClr w14:val="tx1"/>
            </w14:solidFill>
          </w14:textFill>
        </w:rPr>
        <w:t>COOCALLEJONA</w:t>
      </w:r>
      <w:r>
        <w:rPr>
          <w:rFonts w:eastAsia="Calibri" w:cs="Arial"/>
          <w:color w:val="000000" w:themeColor="text1"/>
          <w:spacing w:val="-3"/>
          <w:szCs w:val="24"/>
          <w14:textFill>
            <w14:solidFill>
              <w14:schemeClr w14:val="tx1"/>
            </w14:solidFill>
          </w14:textFill>
        </w:rPr>
        <w:t>, que estén en capacidad legal para adquirir obligaciones crediticias, que cumplan con las reciprocidades establecidas por el Consejo de Administración en cuanto a garantías y apalancamiento en  aportes  sociales, que demuestren la suficiente solvencia económica y moral que permitan el reembolso del crédito, presentando los documentos respectivos.</w:t>
      </w:r>
    </w:p>
    <w:p w14:paraId="5EFFB7F5">
      <w:pPr>
        <w:spacing w:line="256" w:lineRule="auto"/>
        <w:ind w:left="142" w:right="49"/>
        <w:jc w:val="both"/>
        <w:rPr>
          <w:rFonts w:eastAsia="Calibri" w:cs="Arial"/>
          <w:color w:val="000000" w:themeColor="text1"/>
          <w:szCs w:val="24"/>
          <w14:textFill>
            <w14:solidFill>
              <w14:schemeClr w14:val="tx1"/>
            </w14:solidFill>
          </w14:textFill>
        </w:rPr>
      </w:pPr>
      <w:r>
        <w:rPr>
          <w:rFonts w:eastAsia="Calibri" w:cs="Arial"/>
          <w:color w:val="000000" w:themeColor="text1"/>
          <w:szCs w:val="24"/>
          <w14:textFill>
            <w14:solidFill>
              <w14:schemeClr w14:val="tx1"/>
            </w14:solidFill>
          </w14:textFill>
        </w:rPr>
        <w:t>Como principio de responsabilidad y autocontrol los funcionarios responsables del análisis de crédito deberán verificar el cumplimiento de los límites y políticas de otorgamiento.</w:t>
      </w:r>
    </w:p>
    <w:p w14:paraId="4614D2EC">
      <w:pPr>
        <w:spacing w:line="256" w:lineRule="auto"/>
        <w:ind w:left="142" w:right="49"/>
        <w:jc w:val="both"/>
        <w:rPr>
          <w:rFonts w:eastAsia="Calibri" w:cs="Arial"/>
          <w:color w:val="000000" w:themeColor="text1"/>
          <w:szCs w:val="24"/>
          <w14:textFill>
            <w14:solidFill>
              <w14:schemeClr w14:val="tx1"/>
            </w14:solidFill>
          </w14:textFill>
        </w:rPr>
      </w:pPr>
      <w:r>
        <w:rPr>
          <w:rFonts w:eastAsia="Calibri" w:cs="Arial"/>
          <w:color w:val="000000" w:themeColor="text1"/>
          <w:szCs w:val="24"/>
          <w14:textFill>
            <w14:solidFill>
              <w14:schemeClr w14:val="tx1"/>
            </w14:solidFill>
          </w14:textFill>
        </w:rPr>
        <w:t>Las políticas generales que gobiernan las actividades de crédito de COOPCALLEJONA son las siguientes:</w:t>
      </w:r>
    </w:p>
    <w:p w14:paraId="00C7387A">
      <w:pPr>
        <w:spacing w:line="256" w:lineRule="auto"/>
        <w:ind w:left="142" w:right="49"/>
        <w:jc w:val="both"/>
        <w:rPr>
          <w:rFonts w:eastAsia="Calibri" w:cs="Arial"/>
          <w:color w:val="000000" w:themeColor="text1"/>
          <w:szCs w:val="24"/>
          <w14:textFill>
            <w14:solidFill>
              <w14:schemeClr w14:val="tx1"/>
            </w14:solidFill>
          </w14:textFill>
        </w:rPr>
      </w:pPr>
      <w:r>
        <w:rPr>
          <w:rFonts w:eastAsia="Calibri" w:cs="Arial"/>
          <w:color w:val="000000" w:themeColor="text1"/>
          <w:szCs w:val="24"/>
          <w14:textFill>
            <w14:solidFill>
              <w14:schemeClr w14:val="tx1"/>
            </w14:solidFill>
          </w14:textFill>
        </w:rPr>
        <w:t>Los préstamos concedidos por la Cooperativa se abonarán a las cuentas que los asociados autoricen o mediante el pago de cheque.</w:t>
      </w:r>
    </w:p>
    <w:p w14:paraId="0D93B1C1">
      <w:pPr>
        <w:spacing w:line="256" w:lineRule="auto"/>
        <w:ind w:left="142" w:right="49"/>
        <w:jc w:val="both"/>
        <w:rPr>
          <w:rFonts w:eastAsia="Calibri" w:cs="Arial"/>
          <w:color w:val="000000" w:themeColor="text1"/>
          <w:szCs w:val="24"/>
          <w14:textFill>
            <w14:solidFill>
              <w14:schemeClr w14:val="tx1"/>
            </w14:solidFill>
          </w14:textFill>
        </w:rPr>
      </w:pPr>
      <w:r>
        <w:rPr>
          <w:rFonts w:eastAsia="Calibri" w:cs="Arial"/>
          <w:color w:val="000000" w:themeColor="text1"/>
          <w:szCs w:val="24"/>
          <w14:textFill>
            <w14:solidFill>
              <w14:schemeClr w14:val="tx1"/>
            </w14:solidFill>
          </w14:textFill>
        </w:rPr>
        <w:t>Cuando el asociado necesite mejorar su relación de aportes sociales para acceder al crédito, podrá capitalizar el valor requerido para su apalancamiento.</w:t>
      </w:r>
    </w:p>
    <w:p w14:paraId="2A37323F">
      <w:pPr>
        <w:spacing w:line="256" w:lineRule="auto"/>
        <w:ind w:left="142" w:right="49"/>
        <w:jc w:val="both"/>
        <w:rPr>
          <w:rFonts w:eastAsia="Calibri" w:cs="Arial"/>
          <w:color w:val="000000" w:themeColor="text1"/>
          <w:szCs w:val="24"/>
          <w14:textFill>
            <w14:solidFill>
              <w14:schemeClr w14:val="tx1"/>
            </w14:solidFill>
          </w14:textFill>
        </w:rPr>
      </w:pPr>
      <w:r>
        <w:rPr>
          <w:rFonts w:eastAsia="Calibri" w:cs="Arial"/>
          <w:color w:val="000000" w:themeColor="text1"/>
          <w:szCs w:val="24"/>
          <w14:textFill>
            <w14:solidFill>
              <w14:schemeClr w14:val="tx1"/>
            </w14:solidFill>
          </w14:textFill>
        </w:rPr>
        <w:t>Toda solicitud de crédito debe ser presentada en el formato establecido por la Cooperativa y cumplir con los requisitos exigidos por la misma.</w:t>
      </w:r>
    </w:p>
    <w:p w14:paraId="5E2180A0">
      <w:pPr>
        <w:spacing w:line="256" w:lineRule="auto"/>
        <w:ind w:left="142" w:right="49"/>
        <w:jc w:val="both"/>
        <w:rPr>
          <w:rFonts w:eastAsia="Calibri" w:cs="Arial"/>
          <w:color w:val="000000" w:themeColor="text1"/>
          <w:szCs w:val="24"/>
          <w14:textFill>
            <w14:solidFill>
              <w14:schemeClr w14:val="tx1"/>
            </w14:solidFill>
          </w14:textFill>
        </w:rPr>
      </w:pPr>
      <w:r>
        <w:rPr>
          <w:rFonts w:eastAsia="Calibri" w:cs="Arial"/>
          <w:color w:val="000000" w:themeColor="text1"/>
          <w:szCs w:val="24"/>
          <w14:textFill>
            <w14:solidFill>
              <w14:schemeClr w14:val="tx1"/>
            </w14:solidFill>
          </w14:textFill>
        </w:rPr>
        <w:t>La Cooperativa, podrá otorgar créditos en los términos dispuestos en la Ley 454 de 1998 y sus Decretos Reglamentarios vigentes, en lo referente a finalidades y modalidades, en concordancia con los que los adicionen o modifiquen, con sujeción a las disposiciones contenidas en las Leyes y los Reglamentos.</w:t>
      </w:r>
    </w:p>
    <w:p w14:paraId="63DDB0D2">
      <w:pPr>
        <w:spacing w:line="256" w:lineRule="auto"/>
        <w:ind w:left="142" w:right="49"/>
        <w:jc w:val="both"/>
        <w:rPr>
          <w:rFonts w:eastAsia="Calibri" w:cs="Arial"/>
          <w:color w:val="000000" w:themeColor="text1"/>
          <w:szCs w:val="24"/>
          <w14:textFill>
            <w14:solidFill>
              <w14:schemeClr w14:val="tx1"/>
            </w14:solidFill>
          </w14:textFill>
        </w:rPr>
      </w:pPr>
      <w:r>
        <w:rPr>
          <w:rFonts w:eastAsia="Calibri" w:cs="Arial"/>
          <w:color w:val="000000" w:themeColor="text1"/>
          <w:szCs w:val="24"/>
          <w14:textFill>
            <w14:solidFill>
              <w14:schemeClr w14:val="tx1"/>
            </w14:solidFill>
          </w14:textFill>
        </w:rPr>
        <w:t>Los créditos que se otorguen tendrán como objeto contribuir a la solución de las necesidades y mejoramiento de los asociados. Para la adecuada identificación de los riesgos se requiere del conocimiento del prestatario. Es indispensable que los funcionarios, además, de la normatividad que rige la Entidad, conozcan los problemas de sus asociados y, en consecuencia, actúen con sentido común, criterio y buen juicio para orientarlos con el fin de proteger los intereses del asociado.</w:t>
      </w:r>
    </w:p>
    <w:p w14:paraId="4AD54BF1">
      <w:pPr>
        <w:spacing w:after="0" w:line="256" w:lineRule="auto"/>
        <w:ind w:left="142" w:right="49"/>
        <w:jc w:val="both"/>
        <w:rPr>
          <w:rFonts w:eastAsia="Calibri" w:cs="Arial"/>
          <w:color w:val="000000" w:themeColor="text1"/>
          <w:szCs w:val="24"/>
          <w14:textFill>
            <w14:solidFill>
              <w14:schemeClr w14:val="tx1"/>
            </w14:solidFill>
          </w14:textFill>
        </w:rPr>
      </w:pPr>
      <w:r>
        <w:rPr>
          <w:rFonts w:eastAsia="Calibri" w:cs="Arial"/>
          <w:color w:val="000000" w:themeColor="text1"/>
          <w:szCs w:val="24"/>
          <w14:textFill>
            <w14:solidFill>
              <w14:schemeClr w14:val="tx1"/>
            </w14:solidFill>
          </w14:textFill>
        </w:rPr>
        <w:t>La colocación de recursos se hará de acuerdo con la capacidad económica del asociado y su historial crediticio, buscando democratizar el crédito y evitando la concentración del riesgo.</w:t>
      </w:r>
    </w:p>
    <w:p w14:paraId="73CF4CB7">
      <w:pPr>
        <w:spacing w:after="0" w:line="256" w:lineRule="auto"/>
        <w:ind w:left="142" w:right="49"/>
        <w:jc w:val="both"/>
        <w:rPr>
          <w:rFonts w:eastAsia="Calibri" w:cs="Arial"/>
          <w:color w:val="000000" w:themeColor="text1"/>
          <w:szCs w:val="24"/>
          <w14:textFill>
            <w14:solidFill>
              <w14:schemeClr w14:val="tx1"/>
            </w14:solidFill>
          </w14:textFill>
        </w:rPr>
      </w:pPr>
    </w:p>
    <w:p w14:paraId="72BF0575">
      <w:pPr>
        <w:tabs>
          <w:tab w:val="center" w:pos="1134"/>
        </w:tabs>
        <w:spacing w:after="5" w:line="247" w:lineRule="auto"/>
        <w:ind w:left="142" w:right="49"/>
        <w:jc w:val="both"/>
        <w:rPr>
          <w:rFonts w:eastAsia="Calibri" w:cs="Arial"/>
          <w:color w:val="000000" w:themeColor="text1"/>
          <w:szCs w:val="24"/>
          <w14:textFill>
            <w14:solidFill>
              <w14:schemeClr w14:val="tx1"/>
            </w14:solidFill>
          </w14:textFill>
        </w:rPr>
      </w:pPr>
      <w:r>
        <w:rPr>
          <w:rFonts w:eastAsia="Calibri" w:cs="Arial"/>
          <w:color w:val="000000" w:themeColor="text1"/>
          <w:szCs w:val="24"/>
          <w14:textFill>
            <w14:solidFill>
              <w14:schemeClr w14:val="tx1"/>
            </w14:solidFill>
          </w14:textFill>
        </w:rPr>
        <w:t>Todo crédito debe capitalizar aportes de acuerdo con la amortización pactada, valor que se establecerá por circular emitida por la gerencia. Las obligaciones que no tendrán cobro de aportes serán los créditos desembolsados por reestructuración.</w:t>
      </w:r>
    </w:p>
    <w:p w14:paraId="254158CF">
      <w:pPr>
        <w:tabs>
          <w:tab w:val="center" w:pos="1134"/>
        </w:tabs>
        <w:spacing w:after="5" w:line="247" w:lineRule="auto"/>
        <w:ind w:right="49"/>
        <w:jc w:val="both"/>
        <w:rPr>
          <w:rFonts w:eastAsia="Calibri" w:cs="Arial"/>
          <w:color w:val="000000" w:themeColor="text1"/>
          <w:szCs w:val="24"/>
          <w14:textFill>
            <w14:solidFill>
              <w14:schemeClr w14:val="tx1"/>
            </w14:solidFill>
          </w14:textFill>
        </w:rPr>
      </w:pPr>
    </w:p>
    <w:p w14:paraId="56F8C80D">
      <w:pPr>
        <w:spacing w:after="0" w:line="240" w:lineRule="auto"/>
        <w:ind w:left="142" w:right="49"/>
        <w:jc w:val="both"/>
        <w:rPr>
          <w:rFonts w:eastAsia="Calibri" w:cs="Arial"/>
          <w:color w:val="000000" w:themeColor="text1"/>
          <w:szCs w:val="24"/>
          <w14:textFill>
            <w14:solidFill>
              <w14:schemeClr w14:val="tx1"/>
            </w14:solidFill>
          </w14:textFill>
        </w:rPr>
      </w:pPr>
      <w:r>
        <w:rPr>
          <w:rFonts w:eastAsia="Calibri" w:cs="Arial"/>
          <w:color w:val="000000" w:themeColor="text1"/>
          <w:szCs w:val="24"/>
          <w14:textFill>
            <w14:solidFill>
              <w14:schemeClr w14:val="tx1"/>
            </w14:solidFill>
          </w14:textFill>
        </w:rPr>
        <w:t xml:space="preserve">La Cooperativa se reserva el derecho de aprobar o negar cualquier solicitud de crédito, sin que deba dar explicación alguna al asociado solicitante, diferente al “no cumplimiento de las políticas de crédito”. </w:t>
      </w:r>
    </w:p>
    <w:p w14:paraId="148A0BFC">
      <w:pPr>
        <w:spacing w:after="0" w:line="240" w:lineRule="auto"/>
        <w:ind w:left="142" w:right="49"/>
        <w:jc w:val="both"/>
        <w:rPr>
          <w:rFonts w:eastAsia="Calibri" w:cs="Arial"/>
          <w:color w:val="000000" w:themeColor="text1"/>
          <w:szCs w:val="24"/>
          <w14:textFill>
            <w14:solidFill>
              <w14:schemeClr w14:val="tx1"/>
            </w14:solidFill>
          </w14:textFill>
        </w:rPr>
      </w:pPr>
    </w:p>
    <w:p w14:paraId="211F862C">
      <w:pPr>
        <w:spacing w:line="240" w:lineRule="auto"/>
        <w:ind w:left="142" w:right="49"/>
        <w:jc w:val="both"/>
        <w:rPr>
          <w:rFonts w:eastAsia="Calibri" w:cs="Arial"/>
          <w:color w:val="000000" w:themeColor="text1"/>
          <w:szCs w:val="24"/>
          <w14:textFill>
            <w14:solidFill>
              <w14:schemeClr w14:val="tx1"/>
            </w14:solidFill>
          </w14:textFill>
        </w:rPr>
      </w:pPr>
      <w:r>
        <w:rPr>
          <w:rFonts w:eastAsia="Calibri" w:cs="Arial"/>
          <w:color w:val="000000" w:themeColor="text1"/>
          <w:szCs w:val="24"/>
          <w14:textFill>
            <w14:solidFill>
              <w14:schemeClr w14:val="tx1"/>
            </w14:solidFill>
          </w14:textFill>
        </w:rPr>
        <w:t xml:space="preserve">Para efecto de información a los asociados y codeudores sobre el resultado de sus solicitudes de crédito, éstas serán comunicadas a través del asesor comercial o asistente administrativo, de acuerdo a la decisión registrada en el acta y en el formulario de solicitud del asociado, donde se dejan claras las condiciones de la decisión tomada, la información sobre el estado del crédito se podrá dar tanto al deudor como al(los) codeudor(es). </w:t>
      </w:r>
    </w:p>
    <w:p w14:paraId="516B0B98">
      <w:pPr>
        <w:spacing w:line="256" w:lineRule="auto"/>
        <w:ind w:left="142" w:right="49"/>
        <w:jc w:val="both"/>
        <w:rPr>
          <w:rFonts w:eastAsia="Calibri" w:cs="Arial"/>
          <w:color w:val="000000" w:themeColor="text1"/>
          <w:szCs w:val="24"/>
          <w14:textFill>
            <w14:solidFill>
              <w14:schemeClr w14:val="tx1"/>
            </w14:solidFill>
          </w14:textFill>
        </w:rPr>
      </w:pPr>
      <w:r>
        <w:rPr>
          <w:rFonts w:eastAsia="Calibri" w:cs="Arial"/>
          <w:color w:val="000000" w:themeColor="text1"/>
          <w:szCs w:val="24"/>
          <w14:textFill>
            <w14:solidFill>
              <w14:schemeClr w14:val="tx1"/>
            </w14:solidFill>
          </w14:textFill>
        </w:rPr>
        <w:t xml:space="preserve">Debe mantenerse una constante asesoría e información a los asociados sobre las condiciones del crédito (plan de pagos, monto, tasa de interés, amortización, plazo, forma de pago, modalidad de la cuota, garantías),  la correcta utilización del crédito (tasa de interés de mora, gastos de cobranza, reportes a las centrales de riesgo y tiempos de judicialización), costos adicionales (comisiones, recargos, y gastos asociados a la constitución de garantías) y  actualizar la información anualmente de forma obligatoria. </w:t>
      </w:r>
    </w:p>
    <w:p w14:paraId="7D0AD83E">
      <w:pPr>
        <w:spacing w:line="256" w:lineRule="auto"/>
        <w:ind w:left="142" w:right="49"/>
        <w:jc w:val="both"/>
        <w:rPr>
          <w:rFonts w:eastAsia="Calibri" w:cs="Arial"/>
          <w:color w:val="000000" w:themeColor="text1"/>
          <w:szCs w:val="24"/>
          <w14:textFill>
            <w14:solidFill>
              <w14:schemeClr w14:val="tx1"/>
            </w14:solidFill>
          </w14:textFill>
        </w:rPr>
      </w:pPr>
      <w:r>
        <w:rPr>
          <w:rFonts w:eastAsia="Calibri" w:cs="Arial"/>
          <w:color w:val="000000" w:themeColor="text1"/>
          <w:szCs w:val="24"/>
          <w14:textFill>
            <w14:solidFill>
              <w14:schemeClr w14:val="tx1"/>
            </w14:solidFill>
          </w14:textFill>
        </w:rPr>
        <w:t>No se podrán otorgar créditos a personas naturales o jurídicas en condición de deudores o codeudores, que se encuentren en la lista Internacionales Vinculantes para Colombia, listas restrictivas consultadas por la cooperativa, que realicen actividades ilícitas, que presenten las señales de alerta a las cuales hace referencia el Manual Sarlaft.</w:t>
      </w:r>
    </w:p>
    <w:p w14:paraId="6898A210">
      <w:pPr>
        <w:spacing w:line="256" w:lineRule="auto"/>
        <w:ind w:left="142" w:right="49"/>
        <w:jc w:val="both"/>
        <w:rPr>
          <w:rFonts w:eastAsia="Calibri" w:cs="Arial"/>
          <w:color w:val="000000" w:themeColor="text1"/>
          <w:szCs w:val="24"/>
          <w14:textFill>
            <w14:solidFill>
              <w14:schemeClr w14:val="tx1"/>
            </w14:solidFill>
          </w14:textFill>
        </w:rPr>
      </w:pPr>
      <w:r>
        <w:rPr>
          <w:rFonts w:eastAsia="Calibri" w:cs="Arial"/>
          <w:color w:val="000000" w:themeColor="text1"/>
          <w:szCs w:val="24"/>
          <w14:textFill>
            <w14:solidFill>
              <w14:schemeClr w14:val="tx1"/>
            </w14:solidFill>
          </w14:textFill>
        </w:rPr>
        <w:t>Los créditos se otorgarán solamente a los asociados de COOPCALLEJONA, los cuales deben cumplir lo siguiente requisitos:</w:t>
      </w:r>
    </w:p>
    <w:p w14:paraId="428E1BF9">
      <w:pPr>
        <w:numPr>
          <w:ilvl w:val="0"/>
          <w:numId w:val="32"/>
        </w:numPr>
        <w:spacing w:line="256" w:lineRule="auto"/>
        <w:ind w:left="567" w:right="49" w:hanging="283"/>
        <w:contextualSpacing/>
        <w:jc w:val="both"/>
        <w:rPr>
          <w:rFonts w:cs="Arial"/>
          <w:color w:val="000000" w:themeColor="text1"/>
          <w:kern w:val="2"/>
          <w:szCs w:val="24"/>
          <w14:textFill>
            <w14:solidFill>
              <w14:schemeClr w14:val="tx1"/>
            </w14:solidFill>
          </w14:textFill>
          <w14:ligatures w14:val="standardContextual"/>
        </w:rPr>
      </w:pPr>
      <w:r>
        <w:rPr>
          <w:rFonts w:cs="Arial"/>
          <w:color w:val="000000" w:themeColor="text1"/>
          <w:kern w:val="2"/>
          <w:szCs w:val="24"/>
          <w14:textFill>
            <w14:solidFill>
              <w14:schemeClr w14:val="tx1"/>
            </w14:solidFill>
          </w14:textFill>
          <w14:ligatures w14:val="standardContextual"/>
        </w:rPr>
        <w:t>Estar en capacidad legal para dar estricto cumplimiento a las disposiciones del presente manual.</w:t>
      </w:r>
    </w:p>
    <w:p w14:paraId="60D40954">
      <w:pPr>
        <w:numPr>
          <w:ilvl w:val="0"/>
          <w:numId w:val="32"/>
        </w:numPr>
        <w:spacing w:line="256" w:lineRule="auto"/>
        <w:ind w:left="567" w:right="49" w:hanging="283"/>
        <w:contextualSpacing/>
        <w:jc w:val="both"/>
        <w:rPr>
          <w:rFonts w:cs="Arial"/>
          <w:color w:val="000000" w:themeColor="text1"/>
          <w:kern w:val="2"/>
          <w:szCs w:val="24"/>
          <w14:textFill>
            <w14:solidFill>
              <w14:schemeClr w14:val="tx1"/>
            </w14:solidFill>
          </w14:textFill>
          <w14:ligatures w14:val="standardContextual"/>
        </w:rPr>
      </w:pPr>
      <w:r>
        <w:rPr>
          <w:rFonts w:cs="Arial"/>
          <w:color w:val="000000" w:themeColor="text1"/>
          <w:kern w:val="2"/>
          <w:szCs w:val="24"/>
          <w14:textFill>
            <w14:solidFill>
              <w14:schemeClr w14:val="tx1"/>
            </w14:solidFill>
          </w14:textFill>
          <w14:ligatures w14:val="standardContextual"/>
        </w:rPr>
        <w:t>Haber recibido una orientación acerca de la Entidad.</w:t>
      </w:r>
    </w:p>
    <w:p w14:paraId="4176CE9B">
      <w:pPr>
        <w:numPr>
          <w:ilvl w:val="0"/>
          <w:numId w:val="32"/>
        </w:numPr>
        <w:spacing w:after="5" w:line="247" w:lineRule="auto"/>
        <w:ind w:left="567" w:right="49" w:hanging="283"/>
        <w:contextualSpacing/>
        <w:jc w:val="both"/>
        <w:rPr>
          <w:rFonts w:cs="Arial"/>
          <w:color w:val="000000" w:themeColor="text1"/>
          <w:kern w:val="2"/>
          <w:szCs w:val="24"/>
          <w14:textFill>
            <w14:solidFill>
              <w14:schemeClr w14:val="tx1"/>
            </w14:solidFill>
          </w14:textFill>
          <w14:ligatures w14:val="standardContextual"/>
        </w:rPr>
      </w:pPr>
      <w:r>
        <w:rPr>
          <w:rFonts w:cs="Arial"/>
          <w:color w:val="000000" w:themeColor="text1"/>
          <w:kern w:val="2"/>
          <w:szCs w:val="24"/>
          <w14:textFill>
            <w14:solidFill>
              <w14:schemeClr w14:val="tx1"/>
            </w14:solidFill>
          </w14:textFill>
          <w14:ligatures w14:val="standardContextual"/>
        </w:rPr>
        <w:t>Estar al día en el pago de sus obligaciones directas e indirectas para con COOPCALLEJONA y con los demás estamentos del sector solidario o financiero.</w:t>
      </w:r>
    </w:p>
    <w:p w14:paraId="05E0EA27">
      <w:pPr>
        <w:numPr>
          <w:ilvl w:val="0"/>
          <w:numId w:val="32"/>
        </w:numPr>
        <w:spacing w:after="5" w:line="247" w:lineRule="auto"/>
        <w:ind w:left="567" w:right="49" w:hanging="283"/>
        <w:contextualSpacing/>
        <w:jc w:val="both"/>
        <w:rPr>
          <w:rFonts w:cs="Arial"/>
          <w:color w:val="000000" w:themeColor="text1"/>
          <w:kern w:val="2"/>
          <w:szCs w:val="24"/>
          <w14:textFill>
            <w14:solidFill>
              <w14:schemeClr w14:val="tx1"/>
            </w14:solidFill>
          </w14:textFill>
          <w14:ligatures w14:val="standardContextual"/>
        </w:rPr>
      </w:pPr>
      <w:r>
        <w:rPr>
          <w:rFonts w:cs="Arial"/>
          <w:color w:val="000000" w:themeColor="text1"/>
          <w:kern w:val="2"/>
          <w:szCs w:val="24"/>
          <w14:textFill>
            <w14:solidFill>
              <w14:schemeClr w14:val="tx1"/>
            </w14:solidFill>
          </w14:textFill>
          <w14:ligatures w14:val="standardContextual"/>
        </w:rPr>
        <w:t>Que su reporte en las centrales de riesgo no presente mora tanto para principal como para codeudor.</w:t>
      </w:r>
    </w:p>
    <w:p w14:paraId="2083857B">
      <w:pPr>
        <w:numPr>
          <w:ilvl w:val="0"/>
          <w:numId w:val="32"/>
        </w:numPr>
        <w:spacing w:after="5" w:line="247" w:lineRule="auto"/>
        <w:ind w:left="567" w:right="49" w:hanging="283"/>
        <w:contextualSpacing/>
        <w:jc w:val="both"/>
        <w:rPr>
          <w:rFonts w:cs="Arial"/>
          <w:color w:val="000000" w:themeColor="text1"/>
          <w:kern w:val="2"/>
          <w:szCs w:val="24"/>
          <w14:textFill>
            <w14:solidFill>
              <w14:schemeClr w14:val="tx1"/>
            </w14:solidFill>
          </w14:textFill>
          <w14:ligatures w14:val="standardContextual"/>
        </w:rPr>
      </w:pPr>
      <w:r>
        <w:rPr>
          <w:rFonts w:cs="Arial"/>
          <w:color w:val="000000" w:themeColor="text1"/>
          <w:kern w:val="2"/>
          <w:szCs w:val="24"/>
          <w14:textFill>
            <w14:solidFill>
              <w14:schemeClr w14:val="tx1"/>
            </w14:solidFill>
          </w14:textFill>
          <w14:ligatures w14:val="standardContextual"/>
        </w:rPr>
        <w:t>Dar cumplimiento a las condiciones de reciprocidad establecidas por la administración en lo relacionado con garantías, apalancamiento en aportes sociales, ahorros y demás que sean establecidos.</w:t>
      </w:r>
    </w:p>
    <w:p w14:paraId="70A472B5">
      <w:pPr>
        <w:numPr>
          <w:ilvl w:val="0"/>
          <w:numId w:val="32"/>
        </w:numPr>
        <w:spacing w:after="5" w:line="247" w:lineRule="auto"/>
        <w:ind w:left="567" w:right="49" w:hanging="283"/>
        <w:contextualSpacing/>
        <w:jc w:val="both"/>
        <w:rPr>
          <w:rFonts w:cs="Arial"/>
          <w:color w:val="000000" w:themeColor="text1"/>
          <w:kern w:val="2"/>
          <w:szCs w:val="24"/>
          <w14:textFill>
            <w14:solidFill>
              <w14:schemeClr w14:val="tx1"/>
            </w14:solidFill>
          </w14:textFill>
          <w14:ligatures w14:val="standardContextual"/>
        </w:rPr>
      </w:pPr>
      <w:r>
        <w:rPr>
          <w:rFonts w:cs="Arial"/>
          <w:color w:val="000000" w:themeColor="text1"/>
          <w:kern w:val="2"/>
          <w:szCs w:val="24"/>
          <w14:textFill>
            <w14:solidFill>
              <w14:schemeClr w14:val="tx1"/>
            </w14:solidFill>
          </w14:textFill>
          <w14:ligatures w14:val="standardContextual"/>
        </w:rPr>
        <w:t>Cumplir con las exigencias establecidas por el Consejo de Administración en cuanto a los criterios de otorgamiento, esto es la capacidad de pago, solvencia económica garantías, flujo de caja en los proyectos que se requieren hábito de pago tanto al interior de la entidad, así como con el sector financiero, real, servicios públicos y telefonía celular como en la vinculación comercial.</w:t>
      </w:r>
    </w:p>
    <w:p w14:paraId="583F029C">
      <w:pPr>
        <w:pStyle w:val="67"/>
        <w:numPr>
          <w:ilvl w:val="0"/>
          <w:numId w:val="32"/>
        </w:numPr>
        <w:spacing w:after="5" w:line="247" w:lineRule="auto"/>
        <w:ind w:right="49"/>
        <w:jc w:val="both"/>
        <w:rPr>
          <w:rFonts w:cs="Arial"/>
          <w:color w:val="000000" w:themeColor="text1"/>
          <w:kern w:val="2"/>
          <w:szCs w:val="24"/>
          <w14:textFill>
            <w14:solidFill>
              <w14:schemeClr w14:val="tx1"/>
            </w14:solidFill>
          </w14:textFill>
          <w14:ligatures w14:val="standardContextual"/>
        </w:rPr>
      </w:pPr>
      <w:r>
        <w:rPr>
          <w:rFonts w:cs="Arial"/>
          <w:color w:val="000000" w:themeColor="text1"/>
          <w:kern w:val="2"/>
          <w:szCs w:val="24"/>
          <w14:textFill>
            <w14:solidFill>
              <w14:schemeClr w14:val="tx1"/>
            </w14:solidFill>
          </w14:textFill>
          <w14:ligatures w14:val="standardContextual"/>
        </w:rPr>
        <w:t>Presentar la documentación exigida en el presente manual</w:t>
      </w:r>
    </w:p>
    <w:p w14:paraId="31262624">
      <w:pPr>
        <w:pStyle w:val="67"/>
        <w:widowControl w:val="0"/>
        <w:numPr>
          <w:ilvl w:val="0"/>
          <w:numId w:val="32"/>
        </w:numPr>
        <w:tabs>
          <w:tab w:val="left" w:pos="1682"/>
        </w:tabs>
        <w:autoSpaceDE w:val="0"/>
        <w:autoSpaceDN w:val="0"/>
        <w:spacing w:after="0" w:line="240" w:lineRule="auto"/>
        <w:contextualSpacing w:val="0"/>
        <w:rPr>
          <w:rFonts w:cs="Arial"/>
          <w:color w:val="000000" w:themeColor="text1"/>
          <w:kern w:val="2"/>
          <w:szCs w:val="24"/>
          <w14:textFill>
            <w14:solidFill>
              <w14:schemeClr w14:val="tx1"/>
            </w14:solidFill>
          </w14:textFill>
          <w14:ligatures w14:val="standardContextual"/>
        </w:rPr>
      </w:pPr>
      <w:r>
        <w:rPr>
          <w:rFonts w:cs="Arial"/>
          <w:color w:val="000000" w:themeColor="text1"/>
          <w:kern w:val="2"/>
          <w:szCs w:val="24"/>
          <w14:textFill>
            <w14:solidFill>
              <w14:schemeClr w14:val="tx1"/>
            </w14:solidFill>
          </w14:textFill>
          <w14:ligatures w14:val="standardContextual"/>
        </w:rPr>
        <w:t>Demostrar la capacidad de descuento y capacidad de pago para cancelar la obligación.</w:t>
      </w:r>
    </w:p>
    <w:p w14:paraId="1F92116A">
      <w:pPr>
        <w:pStyle w:val="67"/>
        <w:widowControl w:val="0"/>
        <w:numPr>
          <w:ilvl w:val="0"/>
          <w:numId w:val="32"/>
        </w:numPr>
        <w:tabs>
          <w:tab w:val="left" w:pos="1682"/>
        </w:tabs>
        <w:autoSpaceDE w:val="0"/>
        <w:autoSpaceDN w:val="0"/>
        <w:spacing w:before="3" w:after="0" w:line="237" w:lineRule="auto"/>
        <w:ind w:right="1460"/>
        <w:contextualSpacing w:val="0"/>
        <w:rPr>
          <w:rFonts w:cs="Arial"/>
          <w:color w:val="000000" w:themeColor="text1"/>
          <w:kern w:val="2"/>
          <w:szCs w:val="24"/>
          <w14:textFill>
            <w14:solidFill>
              <w14:schemeClr w14:val="tx1"/>
            </w14:solidFill>
          </w14:textFill>
          <w14:ligatures w14:val="standardContextual"/>
        </w:rPr>
      </w:pPr>
      <w:r>
        <w:rPr>
          <w:rFonts w:cs="Arial"/>
          <w:color w:val="000000" w:themeColor="text1"/>
          <w:kern w:val="2"/>
          <w:szCs w:val="24"/>
          <w14:textFill>
            <w14:solidFill>
              <w14:schemeClr w14:val="tx1"/>
            </w14:solidFill>
          </w14:textFill>
          <w14:ligatures w14:val="standardContextual"/>
        </w:rPr>
        <w:t>Presentar los documentos adicionales que la Cooperativa considere necesarios para evaluar o confrontar la información que otorgue el asociado.</w:t>
      </w:r>
    </w:p>
    <w:p w14:paraId="41B2DD49">
      <w:pPr>
        <w:pStyle w:val="67"/>
        <w:widowControl w:val="0"/>
        <w:numPr>
          <w:ilvl w:val="0"/>
          <w:numId w:val="32"/>
        </w:numPr>
        <w:tabs>
          <w:tab w:val="left" w:pos="1682"/>
        </w:tabs>
        <w:autoSpaceDE w:val="0"/>
        <w:autoSpaceDN w:val="0"/>
        <w:spacing w:after="0" w:line="240" w:lineRule="auto"/>
        <w:ind w:right="1464"/>
        <w:contextualSpacing w:val="0"/>
        <w:rPr>
          <w:rFonts w:cs="Arial"/>
          <w:color w:val="000000" w:themeColor="text1"/>
          <w:kern w:val="2"/>
          <w:szCs w:val="24"/>
          <w14:textFill>
            <w14:solidFill>
              <w14:schemeClr w14:val="tx1"/>
            </w14:solidFill>
          </w14:textFill>
          <w14:ligatures w14:val="standardContextual"/>
        </w:rPr>
      </w:pPr>
      <w:r>
        <w:rPr>
          <w:rFonts w:cs="Arial"/>
          <w:color w:val="000000" w:themeColor="text1"/>
          <w:kern w:val="2"/>
          <w:szCs w:val="24"/>
          <w14:textFill>
            <w14:solidFill>
              <w14:schemeClr w14:val="tx1"/>
            </w14:solidFill>
          </w14:textFill>
          <w14:ligatures w14:val="standardContextual"/>
        </w:rPr>
        <w:t>Abstenerse de beneficiar a terceros, diferentes del grupo familiar, con los servicios de la Cooperativa.</w:t>
      </w:r>
    </w:p>
    <w:p w14:paraId="05E001D4">
      <w:pPr>
        <w:pStyle w:val="67"/>
        <w:widowControl w:val="0"/>
        <w:numPr>
          <w:ilvl w:val="0"/>
          <w:numId w:val="32"/>
        </w:numPr>
        <w:tabs>
          <w:tab w:val="left" w:pos="1682"/>
        </w:tabs>
        <w:autoSpaceDE w:val="0"/>
        <w:autoSpaceDN w:val="0"/>
        <w:spacing w:before="1" w:after="0" w:line="275" w:lineRule="exact"/>
        <w:contextualSpacing w:val="0"/>
        <w:rPr>
          <w:rFonts w:cs="Arial"/>
          <w:color w:val="000000" w:themeColor="text1"/>
          <w:kern w:val="2"/>
          <w:szCs w:val="24"/>
          <w14:textFill>
            <w14:solidFill>
              <w14:schemeClr w14:val="tx1"/>
            </w14:solidFill>
          </w14:textFill>
          <w14:ligatures w14:val="standardContextual"/>
        </w:rPr>
      </w:pPr>
      <w:r>
        <w:rPr>
          <w:rFonts w:cs="Arial"/>
          <w:color w:val="000000" w:themeColor="text1"/>
          <w:kern w:val="2"/>
          <w:szCs w:val="24"/>
          <w14:textFill>
            <w14:solidFill>
              <w14:schemeClr w14:val="tx1"/>
            </w14:solidFill>
          </w14:textFill>
          <w14:ligatures w14:val="standardContextual"/>
        </w:rPr>
        <w:t>Cumplir con las políticas de crédito de la Cooperativa.</w:t>
      </w:r>
    </w:p>
    <w:p w14:paraId="741DAA96">
      <w:pPr>
        <w:pStyle w:val="67"/>
        <w:widowControl w:val="0"/>
        <w:numPr>
          <w:ilvl w:val="0"/>
          <w:numId w:val="32"/>
        </w:numPr>
        <w:tabs>
          <w:tab w:val="left" w:pos="1682"/>
        </w:tabs>
        <w:autoSpaceDE w:val="0"/>
        <w:autoSpaceDN w:val="0"/>
        <w:spacing w:after="0" w:line="240" w:lineRule="auto"/>
        <w:ind w:right="1461"/>
        <w:contextualSpacing w:val="0"/>
        <w:jc w:val="both"/>
        <w:rPr>
          <w:rFonts w:cs="Arial"/>
          <w:color w:val="000000" w:themeColor="text1"/>
          <w:kern w:val="2"/>
          <w:szCs w:val="24"/>
          <w14:textFill>
            <w14:solidFill>
              <w14:schemeClr w14:val="tx1"/>
            </w14:solidFill>
          </w14:textFill>
          <w14:ligatures w14:val="standardContextual"/>
        </w:rPr>
      </w:pPr>
      <w:r>
        <w:rPr>
          <w:rFonts w:cs="Arial"/>
          <w:color w:val="000000" w:themeColor="text1"/>
          <w:kern w:val="2"/>
          <w:szCs w:val="24"/>
          <w14:textFill>
            <w14:solidFill>
              <w14:schemeClr w14:val="tx1"/>
            </w14:solidFill>
          </w14:textFill>
          <w14:ligatures w14:val="standardContextual"/>
        </w:rPr>
        <w:t>El Asociado que pignora las cesantías, amparados en el artículo 344 de Código Sustantivo del Trabajo, estará en la obligación de presentar la certificación del saldo que posee, expedido por la Cooperativa donde se encuentran depositadas.</w:t>
      </w:r>
    </w:p>
    <w:p w14:paraId="252E003F">
      <w:pPr>
        <w:numPr>
          <w:ilvl w:val="0"/>
          <w:numId w:val="32"/>
        </w:numPr>
        <w:spacing w:after="5" w:line="247" w:lineRule="auto"/>
        <w:ind w:left="567" w:right="49" w:hanging="283"/>
        <w:contextualSpacing/>
        <w:jc w:val="both"/>
        <w:rPr>
          <w:rFonts w:cs="Arial"/>
          <w:color w:val="000000" w:themeColor="text1"/>
          <w:kern w:val="2"/>
          <w:szCs w:val="24"/>
          <w14:textFill>
            <w14:solidFill>
              <w14:schemeClr w14:val="tx1"/>
            </w14:solidFill>
          </w14:textFill>
          <w14:ligatures w14:val="standardContextual"/>
        </w:rPr>
      </w:pPr>
      <w:r>
        <w:rPr>
          <w:rFonts w:cs="Arial"/>
          <w:color w:val="000000" w:themeColor="text1"/>
          <w:kern w:val="2"/>
          <w:szCs w:val="24"/>
          <w14:textFill>
            <w14:solidFill>
              <w14:schemeClr w14:val="tx1"/>
            </w14:solidFill>
          </w14:textFill>
          <w14:ligatures w14:val="standardContextual"/>
        </w:rPr>
        <w:t>Un asociado podrá avalar máximo hasta SEIS (06) obligaciones, en calidad de deudor o codeudor de las mismas; supeditado lo anterior a su capacidad de pago.</w:t>
      </w:r>
    </w:p>
    <w:p w14:paraId="626E0968">
      <w:pPr>
        <w:jc w:val="both"/>
        <w:rPr>
          <w:rFonts w:cs="Arial"/>
          <w:szCs w:val="24"/>
          <w:lang w:val="es-ES"/>
        </w:rPr>
      </w:pPr>
    </w:p>
    <w:p w14:paraId="76D9DCE5">
      <w:pPr>
        <w:jc w:val="both"/>
        <w:rPr>
          <w:rFonts w:cs="Arial"/>
          <w:b/>
          <w:bCs/>
          <w:szCs w:val="24"/>
          <w:lang w:val="es-ES"/>
        </w:rPr>
      </w:pPr>
      <w:r>
        <w:rPr>
          <w:rFonts w:cs="Arial"/>
          <w:b/>
          <w:bCs/>
          <w:szCs w:val="24"/>
          <w:lang w:val="es-ES"/>
        </w:rPr>
        <w:t>Requisitos Adicionales.</w:t>
      </w:r>
    </w:p>
    <w:p w14:paraId="1EFC2F76">
      <w:pPr>
        <w:jc w:val="both"/>
        <w:rPr>
          <w:rFonts w:cs="Arial"/>
          <w:szCs w:val="24"/>
          <w:lang w:val="es-ES"/>
        </w:rPr>
      </w:pPr>
      <w:r>
        <w:rPr>
          <w:rFonts w:cs="Arial"/>
          <w:szCs w:val="24"/>
          <w:lang w:val="es-ES"/>
        </w:rPr>
        <w:t>La necesidad del otorgamiento de una periodicidad distinta a la mensual deberá soportarse en los siguientes documentos, los cuales serán requisito para estos créditos:</w:t>
      </w:r>
    </w:p>
    <w:p w14:paraId="4BB5757E">
      <w:pPr>
        <w:pStyle w:val="67"/>
        <w:numPr>
          <w:ilvl w:val="0"/>
          <w:numId w:val="29"/>
        </w:numPr>
        <w:jc w:val="both"/>
        <w:rPr>
          <w:rFonts w:cs="Arial"/>
          <w:szCs w:val="24"/>
          <w:lang w:val="es-ES"/>
        </w:rPr>
      </w:pPr>
      <w:r>
        <w:rPr>
          <w:rFonts w:cs="Arial"/>
          <w:szCs w:val="24"/>
          <w:lang w:val="es-ES"/>
        </w:rPr>
        <w:t>Flujo de caja.</w:t>
      </w:r>
    </w:p>
    <w:p w14:paraId="0B694263">
      <w:pPr>
        <w:jc w:val="both"/>
        <w:rPr>
          <w:rFonts w:cs="Arial"/>
          <w:szCs w:val="24"/>
          <w:lang w:val="es-ES"/>
        </w:rPr>
      </w:pPr>
    </w:p>
    <w:p w14:paraId="71F1FD74">
      <w:pPr>
        <w:pStyle w:val="67"/>
        <w:numPr>
          <w:ilvl w:val="0"/>
          <w:numId w:val="29"/>
        </w:numPr>
        <w:jc w:val="both"/>
        <w:rPr>
          <w:rFonts w:cs="Arial"/>
          <w:szCs w:val="24"/>
          <w:lang w:val="es-ES"/>
        </w:rPr>
      </w:pPr>
      <w:r>
        <w:rPr>
          <w:rFonts w:cs="Arial"/>
          <w:szCs w:val="24"/>
          <w:lang w:val="es-ES"/>
        </w:rPr>
        <w:t>Plan de Inversión: No existe formato específico, por lo tanto, manejar carta donde el solicitante del crédito describa cantidad de unidades o hectáreas a financiar, descripción, valor unitario y valor total y firma del Asociado.</w:t>
      </w:r>
    </w:p>
    <w:p w14:paraId="0DFFA58F">
      <w:pPr>
        <w:pStyle w:val="67"/>
        <w:numPr>
          <w:ilvl w:val="0"/>
          <w:numId w:val="29"/>
        </w:numPr>
        <w:jc w:val="both"/>
        <w:rPr>
          <w:rFonts w:cs="Arial"/>
          <w:szCs w:val="24"/>
          <w:lang w:val="es-ES"/>
        </w:rPr>
      </w:pPr>
      <w:r>
        <w:rPr>
          <w:rFonts w:cs="Arial"/>
          <w:szCs w:val="24"/>
          <w:lang w:val="es-ES"/>
        </w:rPr>
        <w:t>Constancia del conocimiento del asociado.</w:t>
      </w:r>
    </w:p>
    <w:p w14:paraId="07232688">
      <w:pPr>
        <w:pStyle w:val="67"/>
        <w:numPr>
          <w:ilvl w:val="0"/>
          <w:numId w:val="29"/>
        </w:numPr>
        <w:jc w:val="both"/>
        <w:rPr>
          <w:rFonts w:cs="Arial"/>
          <w:szCs w:val="24"/>
          <w:lang w:val="es-ES"/>
        </w:rPr>
      </w:pPr>
      <w:r>
        <w:rPr>
          <w:rFonts w:cs="Arial"/>
          <w:szCs w:val="24"/>
          <w:lang w:val="es-ES"/>
        </w:rPr>
        <w:t>Ser persona natural o jurídica.</w:t>
      </w:r>
    </w:p>
    <w:p w14:paraId="36BE10B8">
      <w:pPr>
        <w:pStyle w:val="67"/>
        <w:numPr>
          <w:ilvl w:val="0"/>
          <w:numId w:val="29"/>
        </w:numPr>
        <w:jc w:val="both"/>
        <w:rPr>
          <w:rFonts w:cs="Arial"/>
          <w:szCs w:val="24"/>
          <w:lang w:val="es-ES"/>
        </w:rPr>
      </w:pPr>
      <w:r>
        <w:rPr>
          <w:rFonts w:cs="Arial"/>
          <w:szCs w:val="24"/>
          <w:lang w:val="es-ES"/>
        </w:rPr>
        <w:t>Ejercer actividades económicas donde el flujo de caja refleje ingresos de efectivo en periodos distintos a los mensuales.</w:t>
      </w:r>
    </w:p>
    <w:p w14:paraId="17B0DAF8">
      <w:pPr>
        <w:pStyle w:val="67"/>
        <w:numPr>
          <w:ilvl w:val="0"/>
          <w:numId w:val="29"/>
        </w:numPr>
        <w:jc w:val="both"/>
        <w:rPr>
          <w:rFonts w:cs="Arial"/>
          <w:szCs w:val="24"/>
          <w:lang w:val="es-ES"/>
        </w:rPr>
      </w:pPr>
      <w:r>
        <w:rPr>
          <w:rFonts w:cs="Arial"/>
          <w:szCs w:val="24"/>
          <w:lang w:val="es-ES"/>
        </w:rPr>
        <w:t>Destino de los recursos del crédito orientado cien por ciento (100%) a actividades que van a generar rendimientos en periodos distintos a los mensuales.</w:t>
      </w:r>
    </w:p>
    <w:p w14:paraId="1E99BEDF">
      <w:pPr>
        <w:jc w:val="both"/>
        <w:rPr>
          <w:rFonts w:cs="Arial"/>
          <w:szCs w:val="24"/>
          <w:lang w:val="es-ES"/>
        </w:rPr>
      </w:pPr>
      <w:r>
        <w:rPr>
          <w:rFonts w:cs="Arial"/>
          <w:szCs w:val="24"/>
          <w:lang w:val="es-ES"/>
        </w:rPr>
        <w:t>La Cooperativa no otorgará crédito ni aceptará como deudores o codeudores a personas que presenten algunas de las siguientes situaciones:</w:t>
      </w:r>
    </w:p>
    <w:p w14:paraId="0B3C4310">
      <w:pPr>
        <w:pStyle w:val="67"/>
        <w:numPr>
          <w:ilvl w:val="0"/>
          <w:numId w:val="33"/>
        </w:numPr>
        <w:jc w:val="both"/>
        <w:rPr>
          <w:rFonts w:cs="Arial"/>
          <w:szCs w:val="24"/>
          <w:lang w:val="es-ES"/>
        </w:rPr>
      </w:pPr>
      <w:r>
        <w:rPr>
          <w:rFonts w:cs="Arial"/>
          <w:szCs w:val="24"/>
          <w:lang w:val="es-ES"/>
        </w:rPr>
        <w:t>Cuando se tenga conocimiento que es requerido por la justicia.</w:t>
      </w:r>
    </w:p>
    <w:p w14:paraId="21E56C52">
      <w:pPr>
        <w:pStyle w:val="67"/>
        <w:numPr>
          <w:ilvl w:val="0"/>
          <w:numId w:val="33"/>
        </w:numPr>
        <w:jc w:val="both"/>
        <w:rPr>
          <w:rFonts w:cs="Arial"/>
          <w:szCs w:val="24"/>
          <w:lang w:val="es-ES"/>
        </w:rPr>
      </w:pPr>
      <w:r>
        <w:rPr>
          <w:rFonts w:cs="Arial"/>
          <w:szCs w:val="24"/>
          <w:lang w:val="es-ES"/>
        </w:rPr>
        <w:t>Cuando tenga obligaciones vencidas o castigadas en forma directa o indirecta con los establecimientos que otorguen crédito, salvo que presenten el certificado de paz y salvo y/o la constancia del pago respectivo expedido por el establecimiento que reportó la novedad.</w:t>
      </w:r>
    </w:p>
    <w:p w14:paraId="79793F68">
      <w:pPr>
        <w:pStyle w:val="67"/>
        <w:numPr>
          <w:ilvl w:val="0"/>
          <w:numId w:val="33"/>
        </w:numPr>
        <w:jc w:val="both"/>
        <w:rPr>
          <w:rFonts w:cs="Arial"/>
          <w:szCs w:val="24"/>
          <w:lang w:val="es-ES"/>
        </w:rPr>
      </w:pPr>
      <w:r>
        <w:rPr>
          <w:rFonts w:cs="Arial"/>
          <w:szCs w:val="24"/>
          <w:lang w:val="es-ES"/>
        </w:rPr>
        <w:t>Cuando no suministre información completa, veraz, oportuna, o no aporte los documentos y/o requisitos solicitados para evaluar el crédito.</w:t>
      </w:r>
    </w:p>
    <w:p w14:paraId="3B826CC5">
      <w:pPr>
        <w:pStyle w:val="67"/>
        <w:numPr>
          <w:ilvl w:val="0"/>
          <w:numId w:val="33"/>
        </w:numPr>
        <w:jc w:val="both"/>
        <w:rPr>
          <w:rFonts w:cs="Arial"/>
          <w:szCs w:val="24"/>
          <w:lang w:val="es-ES"/>
        </w:rPr>
      </w:pPr>
      <w:r>
        <w:rPr>
          <w:rFonts w:cs="Arial"/>
          <w:szCs w:val="24"/>
          <w:lang w:val="es-ES"/>
        </w:rPr>
        <w:t>Cuando se conozca que sus bienes o ingresos han sido adquiridos con recursos provenientes de actividades ilícitas.</w:t>
      </w:r>
    </w:p>
    <w:p w14:paraId="1593A24D">
      <w:pPr>
        <w:pStyle w:val="67"/>
        <w:numPr>
          <w:ilvl w:val="0"/>
          <w:numId w:val="33"/>
        </w:numPr>
        <w:jc w:val="both"/>
        <w:rPr>
          <w:rFonts w:cs="Arial"/>
          <w:szCs w:val="24"/>
          <w:lang w:val="es-ES"/>
        </w:rPr>
      </w:pPr>
      <w:r>
        <w:rPr>
          <w:rFonts w:cs="Arial"/>
          <w:szCs w:val="24"/>
          <w:lang w:val="es-ES"/>
        </w:rPr>
        <w:t>Cuando el pasivo del asociado exceda el nivel máximo de endeudamiento establecido por la Cooperativa o sea no tener capacidad de pago.</w:t>
      </w:r>
    </w:p>
    <w:p w14:paraId="5BC62A8E">
      <w:pPr>
        <w:pStyle w:val="67"/>
        <w:numPr>
          <w:ilvl w:val="0"/>
          <w:numId w:val="33"/>
        </w:numPr>
        <w:jc w:val="both"/>
        <w:rPr>
          <w:rFonts w:cs="Arial"/>
          <w:szCs w:val="24"/>
          <w:lang w:val="es-ES"/>
        </w:rPr>
      </w:pPr>
      <w:r>
        <w:rPr>
          <w:rFonts w:cs="Arial"/>
          <w:szCs w:val="24"/>
          <w:lang w:val="es-ES"/>
        </w:rPr>
        <w:t>Cuando se trate de un “Crédito Puente” o con destinación a otra persona (triangulación entre deudores y codeudores).</w:t>
      </w:r>
    </w:p>
    <w:p w14:paraId="5C5B6778">
      <w:pPr>
        <w:pStyle w:val="67"/>
        <w:numPr>
          <w:ilvl w:val="0"/>
          <w:numId w:val="33"/>
        </w:numPr>
        <w:jc w:val="both"/>
        <w:rPr>
          <w:rFonts w:cs="Arial"/>
          <w:szCs w:val="24"/>
          <w:lang w:val="es-ES"/>
        </w:rPr>
      </w:pPr>
      <w:r>
        <w:rPr>
          <w:rFonts w:cs="Arial"/>
          <w:szCs w:val="24"/>
          <w:lang w:val="es-ES"/>
        </w:rPr>
        <w:t>Cuando presente incapacidades legales para adquirir obligaciones (Art. 1502 y siguientes Código Civil).</w:t>
      </w:r>
    </w:p>
    <w:p w14:paraId="399D5749">
      <w:pPr>
        <w:pStyle w:val="67"/>
        <w:numPr>
          <w:ilvl w:val="0"/>
          <w:numId w:val="33"/>
        </w:numPr>
        <w:jc w:val="both"/>
        <w:rPr>
          <w:rFonts w:cs="Arial"/>
          <w:szCs w:val="24"/>
          <w:lang w:val="es-ES"/>
        </w:rPr>
      </w:pPr>
      <w:r>
        <w:rPr>
          <w:rFonts w:cs="Arial"/>
          <w:szCs w:val="24"/>
          <w:lang w:val="es-ES"/>
        </w:rPr>
        <w:t>Cuando el valor de la garantía no respalde la obligación.</w:t>
      </w:r>
    </w:p>
    <w:p w14:paraId="01A329DE">
      <w:pPr>
        <w:pStyle w:val="67"/>
        <w:numPr>
          <w:ilvl w:val="0"/>
          <w:numId w:val="33"/>
        </w:numPr>
        <w:jc w:val="both"/>
        <w:rPr>
          <w:rFonts w:cs="Arial"/>
          <w:szCs w:val="24"/>
          <w:lang w:val="es-ES"/>
        </w:rPr>
      </w:pPr>
      <w:r>
        <w:rPr>
          <w:rFonts w:cs="Arial"/>
          <w:szCs w:val="24"/>
          <w:lang w:val="es-ES"/>
        </w:rPr>
        <w:t>Cuando esté en causal de Quiebra o Concordato.</w:t>
      </w:r>
    </w:p>
    <w:p w14:paraId="21EC7233">
      <w:pPr>
        <w:pStyle w:val="67"/>
        <w:numPr>
          <w:ilvl w:val="0"/>
          <w:numId w:val="33"/>
        </w:numPr>
        <w:jc w:val="both"/>
        <w:rPr>
          <w:rFonts w:cs="Arial"/>
          <w:szCs w:val="24"/>
          <w:lang w:val="es-ES"/>
        </w:rPr>
      </w:pPr>
      <w:r>
        <w:rPr>
          <w:rFonts w:cs="Arial"/>
          <w:szCs w:val="24"/>
          <w:lang w:val="es-ES"/>
        </w:rPr>
        <w:t>Cuando registre embargos en sus cuentas corrientes o de ahorros y/o en los bienes inmuebles aportados como garantía real a la operación de crédito solicitada.</w:t>
      </w:r>
    </w:p>
    <w:p w14:paraId="384D66A8">
      <w:pPr>
        <w:jc w:val="both"/>
        <w:rPr>
          <w:rFonts w:cs="Arial"/>
          <w:szCs w:val="24"/>
          <w:lang w:val="es-ES"/>
        </w:rPr>
      </w:pPr>
      <w:r>
        <w:rPr>
          <w:rFonts w:cs="Arial"/>
          <w:szCs w:val="24"/>
          <w:lang w:val="es-ES"/>
        </w:rPr>
        <w:t>El análisis de una solicitud de crédito debe comprender cuatro (4) elementos básicos evaluados de forma integral:</w:t>
      </w:r>
    </w:p>
    <w:p w14:paraId="0C68030A">
      <w:pPr>
        <w:pStyle w:val="67"/>
        <w:numPr>
          <w:ilvl w:val="0"/>
          <w:numId w:val="29"/>
        </w:numPr>
        <w:jc w:val="both"/>
        <w:rPr>
          <w:rFonts w:cs="Arial"/>
          <w:szCs w:val="24"/>
          <w:lang w:val="es-ES"/>
        </w:rPr>
      </w:pPr>
      <w:r>
        <w:rPr>
          <w:rFonts w:cs="Arial"/>
          <w:szCs w:val="24"/>
          <w:lang w:val="es-ES"/>
        </w:rPr>
        <w:t>Capacidad de pago.</w:t>
      </w:r>
    </w:p>
    <w:p w14:paraId="0D495F77">
      <w:pPr>
        <w:pStyle w:val="67"/>
        <w:numPr>
          <w:ilvl w:val="0"/>
          <w:numId w:val="29"/>
        </w:numPr>
        <w:jc w:val="both"/>
        <w:rPr>
          <w:rFonts w:cs="Arial"/>
          <w:szCs w:val="24"/>
          <w:lang w:val="es-ES"/>
        </w:rPr>
      </w:pPr>
      <w:r>
        <w:rPr>
          <w:rFonts w:cs="Arial"/>
          <w:szCs w:val="24"/>
          <w:lang w:val="es-ES"/>
        </w:rPr>
        <w:t>Hábito de Pago en la Cooperativa.</w:t>
      </w:r>
    </w:p>
    <w:p w14:paraId="52E020FC">
      <w:pPr>
        <w:pStyle w:val="67"/>
        <w:numPr>
          <w:ilvl w:val="0"/>
          <w:numId w:val="29"/>
        </w:numPr>
        <w:jc w:val="both"/>
        <w:rPr>
          <w:rFonts w:cs="Arial"/>
          <w:szCs w:val="24"/>
          <w:lang w:val="es-ES"/>
        </w:rPr>
      </w:pPr>
      <w:r>
        <w:rPr>
          <w:rFonts w:cs="Arial"/>
          <w:szCs w:val="24"/>
          <w:lang w:val="es-ES"/>
        </w:rPr>
        <w:t>Hábito de Pago en los diferentes sectores.</w:t>
      </w:r>
    </w:p>
    <w:p w14:paraId="6B8AD7EF">
      <w:pPr>
        <w:pStyle w:val="67"/>
        <w:numPr>
          <w:ilvl w:val="0"/>
          <w:numId w:val="29"/>
        </w:numPr>
        <w:jc w:val="both"/>
        <w:rPr>
          <w:rFonts w:cs="Arial"/>
          <w:szCs w:val="24"/>
          <w:lang w:val="es-ES"/>
        </w:rPr>
      </w:pPr>
      <w:r>
        <w:rPr>
          <w:rFonts w:cs="Arial"/>
          <w:szCs w:val="24"/>
          <w:lang w:val="es-ES"/>
        </w:rPr>
        <w:t>Calidad de las garantías.</w:t>
      </w:r>
    </w:p>
    <w:p w14:paraId="11857D36">
      <w:pPr>
        <w:jc w:val="both"/>
        <w:rPr>
          <w:rFonts w:cs="Arial"/>
          <w:szCs w:val="24"/>
          <w:lang w:val="es-ES"/>
        </w:rPr>
      </w:pPr>
      <w:r>
        <w:rPr>
          <w:rFonts w:cs="Arial"/>
          <w:szCs w:val="24"/>
          <w:lang w:val="es-ES"/>
        </w:rPr>
        <w:t>La Cooperativa cobrará al solicitante del crédito los costos que se originen por consultas en las centrales de riesgo y los honorarios que se generen por concepto del estudio de títulos o predios y la elaboración de minutas de hipoteca y avalúos.</w:t>
      </w:r>
    </w:p>
    <w:p w14:paraId="1AD822E2">
      <w:pPr>
        <w:jc w:val="both"/>
        <w:rPr>
          <w:rFonts w:cs="Arial"/>
          <w:szCs w:val="24"/>
          <w:lang w:val="es-ES"/>
        </w:rPr>
      </w:pPr>
      <w:r>
        <w:rPr>
          <w:rFonts w:cs="Arial"/>
          <w:szCs w:val="24"/>
          <w:lang w:val="es-ES"/>
        </w:rPr>
        <w:t>La aprobación de crédito no debe estar sujeta a presiones de ninguna naturaleza por las partes interesadas.</w:t>
      </w:r>
      <w:r>
        <w:rPr>
          <w:rFonts w:cs="Arial"/>
          <w:szCs w:val="24"/>
          <w:lang w:val="es-ES"/>
        </w:rPr>
        <w:tab/>
      </w:r>
    </w:p>
    <w:p w14:paraId="071AF618">
      <w:pPr>
        <w:jc w:val="both"/>
        <w:rPr>
          <w:rFonts w:cs="Arial"/>
          <w:szCs w:val="24"/>
          <w:lang w:val="es-ES"/>
        </w:rPr>
      </w:pPr>
      <w:r>
        <w:rPr>
          <w:rFonts w:cs="Arial"/>
          <w:szCs w:val="24"/>
          <w:lang w:val="es-ES"/>
        </w:rPr>
        <w:t>En materia de Políticas la Cooperativa considera hábitos de pago internos teniendo en cuenta alturas máximas de mora aceptadas para la solicitud de créditos de treinta 30 días, obligaciones con altura máxima 90 días siempre y cuando se encuentre a paz y salvo o demuestren haber cancelado la obligación, para obligaciones con promedios internos del último año de mora no superiores a 15 días, para asociados reestructurados podrán acceder a una nueva operación de crédito luego de un (1) año de haber cancelado la obligación reestructurada, por ningún motivo podrán acceder a crédito con la Cooperativa aquellos asociados que por algún motivo se encuentren o hayan estado en dudoso recaudo o calificación en Centrales de Riesgo como Cartera Castigada.</w:t>
      </w:r>
    </w:p>
    <w:p w14:paraId="0F92C2EF">
      <w:pPr>
        <w:jc w:val="both"/>
        <w:rPr>
          <w:rFonts w:cs="Arial"/>
          <w:szCs w:val="24"/>
          <w:lang w:val="es-ES"/>
        </w:rPr>
      </w:pPr>
      <w:r>
        <w:rPr>
          <w:rFonts w:cs="Arial"/>
          <w:szCs w:val="24"/>
          <w:lang w:val="es-ES"/>
        </w:rPr>
        <w:t>Se exceptúan asociados que hayan estado mal calificaciones por haber servido de codeudores en la misma Entidad, las cuales ya han sido canceladas.</w:t>
      </w:r>
    </w:p>
    <w:p w14:paraId="23CB0BCE">
      <w:pPr>
        <w:keepNext/>
        <w:numPr>
          <w:ilvl w:val="1"/>
          <w:numId w:val="34"/>
        </w:numPr>
        <w:spacing w:before="240" w:after="60" w:line="240" w:lineRule="auto"/>
        <w:ind w:left="142" w:right="49" w:firstLine="0"/>
        <w:jc w:val="both"/>
        <w:outlineLvl w:val="1"/>
        <w:rPr>
          <w:rFonts w:eastAsia="Times New Roman" w:cs="Arial"/>
          <w:b/>
          <w:bCs/>
          <w:color w:val="000000" w:themeColor="text1"/>
          <w:szCs w:val="24"/>
          <w:lang w:val="es-ES" w:eastAsia="es-ES" w:bidi="en-US"/>
          <w14:textFill>
            <w14:solidFill>
              <w14:schemeClr w14:val="tx1"/>
            </w14:solidFill>
          </w14:textFill>
        </w:rPr>
      </w:pPr>
      <w:bookmarkStart w:id="134" w:name="_Toc151443613"/>
      <w:bookmarkStart w:id="135" w:name="_Toc182642835"/>
      <w:bookmarkStart w:id="136" w:name="_Toc460118382"/>
      <w:bookmarkStart w:id="137" w:name="_Toc459099308"/>
      <w:bookmarkStart w:id="138" w:name="_Toc269281863"/>
      <w:r>
        <w:rPr>
          <w:rFonts w:eastAsia="Times New Roman" w:cs="Arial"/>
          <w:b/>
          <w:bCs/>
          <w:color w:val="000000" w:themeColor="text1"/>
          <w:szCs w:val="24"/>
          <w:lang w:val="es-ES" w:eastAsia="es-ES" w:bidi="en-US"/>
          <w14:textFill>
            <w14:solidFill>
              <w14:schemeClr w14:val="tx1"/>
            </w14:solidFill>
          </w14:textFill>
        </w:rPr>
        <w:t>Entrevista</w:t>
      </w:r>
      <w:bookmarkEnd w:id="134"/>
      <w:bookmarkEnd w:id="135"/>
      <w:r>
        <w:rPr>
          <w:rFonts w:eastAsia="Times New Roman" w:cs="Arial"/>
          <w:b/>
          <w:bCs/>
          <w:color w:val="000000" w:themeColor="text1"/>
          <w:szCs w:val="24"/>
          <w:lang w:val="es-ES" w:eastAsia="es-ES" w:bidi="en-US"/>
          <w14:textFill>
            <w14:solidFill>
              <w14:schemeClr w14:val="tx1"/>
            </w14:solidFill>
          </w14:textFill>
        </w:rPr>
        <w:t xml:space="preserve"> </w:t>
      </w:r>
    </w:p>
    <w:p w14:paraId="3F90B2CE">
      <w:pPr>
        <w:spacing w:line="256" w:lineRule="auto"/>
        <w:ind w:left="142" w:right="49"/>
        <w:jc w:val="both"/>
        <w:rPr>
          <w:rFonts w:ascii="Baloo Thambi 2" w:hAnsi="Baloo Thambi 2" w:eastAsia="Calibri" w:cs="Baloo Thambi 2"/>
          <w:color w:val="000000" w:themeColor="text1"/>
          <w:szCs w:val="24"/>
          <w14:textFill>
            <w14:solidFill>
              <w14:schemeClr w14:val="tx1"/>
            </w14:solidFill>
          </w14:textFill>
        </w:rPr>
      </w:pPr>
    </w:p>
    <w:p w14:paraId="014199D1">
      <w:pPr>
        <w:spacing w:line="256" w:lineRule="auto"/>
        <w:ind w:left="142" w:right="49"/>
        <w:jc w:val="both"/>
        <w:rPr>
          <w:rFonts w:eastAsia="Calibri" w:cs="Arial"/>
          <w:b/>
          <w:bCs/>
          <w:color w:val="000000" w:themeColor="text1"/>
          <w:szCs w:val="24"/>
          <w:u w:val="single"/>
          <w14:textFill>
            <w14:solidFill>
              <w14:schemeClr w14:val="tx1"/>
            </w14:solidFill>
          </w14:textFill>
        </w:rPr>
      </w:pPr>
      <w:r>
        <w:rPr>
          <w:rFonts w:eastAsia="Calibri" w:cs="Arial"/>
          <w:b/>
          <w:bCs/>
          <w:color w:val="000000" w:themeColor="text1"/>
          <w:szCs w:val="24"/>
          <w:u w:val="single"/>
          <w14:textFill>
            <w14:solidFill>
              <w14:schemeClr w14:val="tx1"/>
            </w14:solidFill>
          </w14:textFill>
        </w:rPr>
        <w:t>Conocimiento del solicitante</w:t>
      </w:r>
      <w:bookmarkEnd w:id="136"/>
      <w:bookmarkEnd w:id="137"/>
      <w:bookmarkEnd w:id="138"/>
    </w:p>
    <w:p w14:paraId="4CB69CCC">
      <w:pPr>
        <w:spacing w:line="256" w:lineRule="auto"/>
        <w:ind w:left="142" w:right="49"/>
        <w:jc w:val="both"/>
        <w:rPr>
          <w:rFonts w:eastAsia="Calibri" w:cs="Arial"/>
          <w:color w:val="000000" w:themeColor="text1"/>
          <w:szCs w:val="24"/>
          <w14:textFill>
            <w14:solidFill>
              <w14:schemeClr w14:val="tx1"/>
            </w14:solidFill>
          </w14:textFill>
        </w:rPr>
      </w:pPr>
      <w:r>
        <w:rPr>
          <w:rFonts w:eastAsia="Calibri" w:cs="Arial"/>
          <w:color w:val="000000" w:themeColor="text1"/>
          <w:szCs w:val="24"/>
          <w14:textFill>
            <w14:solidFill>
              <w14:schemeClr w14:val="tx1"/>
            </w14:solidFill>
          </w14:textFill>
        </w:rPr>
        <w:t>La entrevista constituye el aspecto más importante en el otorgamiento de un crédito ya que permite establecer con relativa certeza si el interesado tiene o no la posibilidad de acceso al mismo.</w:t>
      </w:r>
    </w:p>
    <w:p w14:paraId="14AA2EF5">
      <w:pPr>
        <w:tabs>
          <w:tab w:val="left" w:pos="-720"/>
        </w:tabs>
        <w:suppressAutoHyphens/>
        <w:spacing w:line="256" w:lineRule="auto"/>
        <w:ind w:left="142" w:right="49"/>
        <w:jc w:val="both"/>
        <w:rPr>
          <w:rFonts w:eastAsia="Calibri" w:cs="Arial"/>
          <w:color w:val="000000" w:themeColor="text1"/>
          <w:spacing w:val="-3"/>
          <w:szCs w:val="24"/>
          <w14:textFill>
            <w14:solidFill>
              <w14:schemeClr w14:val="tx1"/>
            </w14:solidFill>
          </w14:textFill>
        </w:rPr>
      </w:pPr>
      <w:r>
        <w:rPr>
          <w:rFonts w:eastAsia="Calibri" w:cs="Arial"/>
          <w:color w:val="000000" w:themeColor="text1"/>
          <w:spacing w:val="-3"/>
          <w:szCs w:val="24"/>
          <w14:textFill>
            <w14:solidFill>
              <w14:schemeClr w14:val="tx1"/>
            </w14:solidFill>
          </w14:textFill>
        </w:rPr>
        <w:t>Toda entrevista debe realizarse directamente con la persona interesada en el préstamo y de forma confidencial.</w:t>
      </w:r>
    </w:p>
    <w:p w14:paraId="5FD81AB5">
      <w:pPr>
        <w:tabs>
          <w:tab w:val="left" w:pos="-720"/>
        </w:tabs>
        <w:suppressAutoHyphens/>
        <w:spacing w:line="256" w:lineRule="auto"/>
        <w:ind w:left="142" w:right="49"/>
        <w:jc w:val="both"/>
        <w:rPr>
          <w:rFonts w:eastAsia="Calibri" w:cs="Arial"/>
          <w:color w:val="000000" w:themeColor="text1"/>
          <w:spacing w:val="-3"/>
          <w:szCs w:val="24"/>
          <w14:textFill>
            <w14:solidFill>
              <w14:schemeClr w14:val="tx1"/>
            </w14:solidFill>
          </w14:textFill>
        </w:rPr>
      </w:pPr>
      <w:r>
        <w:rPr>
          <w:rFonts w:eastAsia="Calibri" w:cs="Arial"/>
          <w:color w:val="000000" w:themeColor="text1"/>
          <w:spacing w:val="-3"/>
          <w:szCs w:val="24"/>
          <w14:textFill>
            <w14:solidFill>
              <w14:schemeClr w14:val="tx1"/>
            </w14:solidFill>
          </w14:textFill>
        </w:rPr>
        <w:t>Quien lleve a cabo la entrevista debe tener una actitud abierta, franca, que inspire confianza, que tenga un espíritu promotor y asesor, con una mentalidad receptiva y para quien su máxima preocupación sea la satisfacción plena de las necesidades del usuario.</w:t>
      </w:r>
    </w:p>
    <w:p w14:paraId="00858A51">
      <w:pPr>
        <w:tabs>
          <w:tab w:val="left" w:pos="-720"/>
        </w:tabs>
        <w:suppressAutoHyphens/>
        <w:spacing w:line="256" w:lineRule="auto"/>
        <w:ind w:left="142" w:right="49"/>
        <w:jc w:val="both"/>
        <w:rPr>
          <w:rFonts w:eastAsia="Calibri" w:cs="Arial"/>
          <w:color w:val="000000" w:themeColor="text1"/>
          <w:spacing w:val="-3"/>
          <w:szCs w:val="24"/>
          <w14:textFill>
            <w14:solidFill>
              <w14:schemeClr w14:val="tx1"/>
            </w14:solidFill>
          </w14:textFill>
        </w:rPr>
      </w:pPr>
      <w:r>
        <w:rPr>
          <w:rFonts w:eastAsia="Calibri" w:cs="Arial"/>
          <w:color w:val="000000" w:themeColor="text1"/>
          <w:spacing w:val="-3"/>
          <w:szCs w:val="24"/>
          <w14:textFill>
            <w14:solidFill>
              <w14:schemeClr w14:val="tx1"/>
            </w14:solidFill>
          </w14:textFill>
        </w:rPr>
        <w:t>El manejo de un servicio tan importante como este se basa, ante todo, en la confianza mutua. Tal confianza hacia el ASOCIADO nacerá del conocimiento que se tenga sobre su moralidad, el sector económico en el que se desempeña, sus recursos, su habilidad administrativa y su capacidad de pago.</w:t>
      </w:r>
    </w:p>
    <w:p w14:paraId="1E1802DF">
      <w:pPr>
        <w:tabs>
          <w:tab w:val="left" w:pos="-720"/>
        </w:tabs>
        <w:suppressAutoHyphens/>
        <w:spacing w:line="256" w:lineRule="auto"/>
        <w:ind w:left="142" w:right="49"/>
        <w:jc w:val="both"/>
        <w:rPr>
          <w:rFonts w:eastAsia="Calibri" w:cs="Arial"/>
          <w:color w:val="000000" w:themeColor="text1"/>
          <w:spacing w:val="-3"/>
          <w:szCs w:val="24"/>
          <w14:textFill>
            <w14:solidFill>
              <w14:schemeClr w14:val="tx1"/>
            </w14:solidFill>
          </w14:textFill>
        </w:rPr>
      </w:pPr>
      <w:r>
        <w:rPr>
          <w:rFonts w:eastAsia="Calibri" w:cs="Arial"/>
          <w:color w:val="000000" w:themeColor="text1"/>
          <w:spacing w:val="-3"/>
          <w:szCs w:val="24"/>
          <w14:textFill>
            <w14:solidFill>
              <w14:schemeClr w14:val="tx1"/>
            </w14:solidFill>
          </w14:textFill>
        </w:rPr>
        <w:t>Dar un buen trato al ASOCIADO es muy importante ya que hace que éste se sienta como en familia, así siempre hablará positivamente de la institución.</w:t>
      </w:r>
    </w:p>
    <w:p w14:paraId="1A32D665">
      <w:pPr>
        <w:tabs>
          <w:tab w:val="left" w:pos="-720"/>
        </w:tabs>
        <w:suppressAutoHyphens/>
        <w:spacing w:line="256" w:lineRule="auto"/>
        <w:ind w:left="142" w:right="49"/>
        <w:jc w:val="both"/>
        <w:rPr>
          <w:rFonts w:eastAsia="Calibri" w:cs="Arial"/>
          <w:color w:val="000000" w:themeColor="text1"/>
          <w:spacing w:val="-3"/>
          <w:szCs w:val="24"/>
          <w14:textFill>
            <w14:solidFill>
              <w14:schemeClr w14:val="tx1"/>
            </w14:solidFill>
          </w14:textFill>
        </w:rPr>
      </w:pPr>
      <w:r>
        <w:rPr>
          <w:rFonts w:eastAsia="Calibri" w:cs="Arial"/>
          <w:color w:val="000000" w:themeColor="text1"/>
          <w:spacing w:val="-3"/>
          <w:szCs w:val="24"/>
          <w14:textFill>
            <w14:solidFill>
              <w14:schemeClr w14:val="tx1"/>
            </w14:solidFill>
          </w14:textFill>
        </w:rPr>
        <w:t>Se hace necesario el hacer ver al solicitante la importancia de los datos y soportes que nos suministra, estos son la base que permite colaborarle con una verdadera orientación crediticia y así evitarle molestias futuras. Cualquier inconsistencia en la información suministrada será motivo suficiente para negar el crédito en cualquier etapa en que se encuentre.</w:t>
      </w:r>
    </w:p>
    <w:p w14:paraId="2B579435">
      <w:pPr>
        <w:spacing w:line="256" w:lineRule="auto"/>
        <w:ind w:left="142" w:right="49"/>
        <w:jc w:val="both"/>
        <w:rPr>
          <w:rFonts w:eastAsia="Calibri" w:cs="Arial"/>
          <w:b/>
          <w:bCs/>
          <w:color w:val="000000" w:themeColor="text1"/>
          <w:szCs w:val="24"/>
          <w:u w:val="single"/>
          <w14:textFill>
            <w14:solidFill>
              <w14:schemeClr w14:val="tx1"/>
            </w14:solidFill>
          </w14:textFill>
        </w:rPr>
      </w:pPr>
      <w:bookmarkStart w:id="139" w:name="_Toc460118383"/>
      <w:bookmarkStart w:id="140" w:name="_Toc459099309"/>
      <w:bookmarkStart w:id="141" w:name="_Toc269281864"/>
      <w:r>
        <w:rPr>
          <w:rFonts w:eastAsia="Calibri" w:cs="Arial"/>
          <w:b/>
          <w:bCs/>
          <w:color w:val="000000" w:themeColor="text1"/>
          <w:szCs w:val="24"/>
          <w:u w:val="single"/>
          <w14:textFill>
            <w14:solidFill>
              <w14:schemeClr w14:val="tx1"/>
            </w14:solidFill>
          </w14:textFill>
        </w:rPr>
        <w:t xml:space="preserve">Vínculo del </w:t>
      </w:r>
      <w:bookmarkEnd w:id="139"/>
      <w:bookmarkEnd w:id="140"/>
      <w:r>
        <w:rPr>
          <w:rFonts w:eastAsia="Calibri" w:cs="Arial"/>
          <w:b/>
          <w:bCs/>
          <w:color w:val="000000" w:themeColor="text1"/>
          <w:szCs w:val="24"/>
          <w:u w:val="single"/>
          <w14:textFill>
            <w14:solidFill>
              <w14:schemeClr w14:val="tx1"/>
            </w14:solidFill>
          </w14:textFill>
        </w:rPr>
        <w:t xml:space="preserve">entrevistado con </w:t>
      </w:r>
      <w:bookmarkEnd w:id="141"/>
      <w:r>
        <w:rPr>
          <w:rFonts w:eastAsia="Calibri" w:cs="Arial"/>
          <w:b/>
          <w:bCs/>
          <w:color w:val="000000" w:themeColor="text1"/>
          <w:szCs w:val="24"/>
          <w:u w:val="single"/>
          <w14:textFill>
            <w14:solidFill>
              <w14:schemeClr w14:val="tx1"/>
            </w14:solidFill>
          </w14:textFill>
        </w:rPr>
        <w:t>COOPCALLEJONA</w:t>
      </w:r>
    </w:p>
    <w:p w14:paraId="59DD773A">
      <w:pPr>
        <w:tabs>
          <w:tab w:val="left" w:pos="-720"/>
        </w:tabs>
        <w:suppressAutoHyphens/>
        <w:spacing w:line="256" w:lineRule="auto"/>
        <w:ind w:left="142" w:right="49"/>
        <w:jc w:val="both"/>
        <w:rPr>
          <w:rFonts w:eastAsia="Calibri" w:cs="Arial"/>
          <w:color w:val="000000" w:themeColor="text1"/>
          <w:spacing w:val="-3"/>
          <w:szCs w:val="24"/>
          <w14:textFill>
            <w14:solidFill>
              <w14:schemeClr w14:val="tx1"/>
            </w14:solidFill>
          </w14:textFill>
        </w:rPr>
      </w:pPr>
      <w:r>
        <w:rPr>
          <w:rFonts w:eastAsia="Calibri" w:cs="Arial"/>
          <w:color w:val="000000" w:themeColor="text1"/>
          <w:spacing w:val="-3"/>
          <w:szCs w:val="24"/>
          <w14:textFill>
            <w14:solidFill>
              <w14:schemeClr w14:val="tx1"/>
            </w14:solidFill>
          </w14:textFill>
        </w:rPr>
        <w:t>El Empleado que realice la entrevista, debe verificar si el entrevistado es asociado a COOPCALLEJONA. Si no es asociado, dar la información adecuada y si es su deseo afiliarlo bajo las condiciones reglamentadas.</w:t>
      </w:r>
    </w:p>
    <w:p w14:paraId="2033D695">
      <w:pPr>
        <w:spacing w:line="256" w:lineRule="auto"/>
        <w:ind w:left="142" w:right="49"/>
        <w:jc w:val="both"/>
        <w:rPr>
          <w:rFonts w:eastAsia="Calibri" w:cs="Arial"/>
          <w:color w:val="000000" w:themeColor="text1"/>
          <w:szCs w:val="24"/>
          <w14:textFill>
            <w14:solidFill>
              <w14:schemeClr w14:val="tx1"/>
            </w14:solidFill>
          </w14:textFill>
        </w:rPr>
      </w:pPr>
      <w:bookmarkStart w:id="142" w:name="_Toc459099313"/>
      <w:bookmarkStart w:id="143" w:name="_Toc269281868"/>
      <w:bookmarkStart w:id="144" w:name="_Toc460118387"/>
      <w:r>
        <w:rPr>
          <w:rFonts w:eastAsia="Calibri" w:cs="Arial"/>
          <w:b/>
          <w:bCs/>
          <w:color w:val="000000" w:themeColor="text1"/>
          <w:szCs w:val="24"/>
          <w:u w:val="single"/>
          <w14:textFill>
            <w14:solidFill>
              <w14:schemeClr w14:val="tx1"/>
            </w14:solidFill>
          </w14:textFill>
        </w:rPr>
        <w:t>Determinación de la necesidad de crédito</w:t>
      </w:r>
      <w:r>
        <w:rPr>
          <w:rFonts w:eastAsia="Calibri" w:cs="Arial"/>
          <w:color w:val="000000" w:themeColor="text1"/>
          <w:szCs w:val="24"/>
          <w14:textFill>
            <w14:solidFill>
              <w14:schemeClr w14:val="tx1"/>
            </w14:solidFill>
          </w14:textFill>
        </w:rPr>
        <w:t xml:space="preserve"> </w:t>
      </w:r>
      <w:bookmarkEnd w:id="142"/>
      <w:bookmarkEnd w:id="143"/>
      <w:bookmarkEnd w:id="144"/>
    </w:p>
    <w:p w14:paraId="7FBBE080">
      <w:pPr>
        <w:tabs>
          <w:tab w:val="left" w:pos="-720"/>
        </w:tabs>
        <w:suppressAutoHyphens/>
        <w:spacing w:line="256" w:lineRule="auto"/>
        <w:ind w:left="142" w:right="49"/>
        <w:jc w:val="both"/>
        <w:rPr>
          <w:rFonts w:eastAsia="Calibri" w:cs="Arial"/>
          <w:color w:val="000000" w:themeColor="text1"/>
          <w:spacing w:val="-3"/>
          <w:szCs w:val="24"/>
          <w14:textFill>
            <w14:solidFill>
              <w14:schemeClr w14:val="tx1"/>
            </w14:solidFill>
          </w14:textFill>
        </w:rPr>
      </w:pPr>
      <w:r>
        <w:rPr>
          <w:rFonts w:eastAsia="Calibri" w:cs="Arial"/>
          <w:color w:val="000000" w:themeColor="text1"/>
          <w:spacing w:val="-3"/>
          <w:szCs w:val="24"/>
          <w14:textFill>
            <w14:solidFill>
              <w14:schemeClr w14:val="tx1"/>
            </w14:solidFill>
          </w14:textFill>
        </w:rPr>
        <w:t>El uso que el ASOCIADO pretenda darle al dinero no debe ser indiferente. Se debe tener presente que somos sus asesores y que un crédito bien enfocado permitirá no sólo asegurar el real retorno de los recursos, sino también brindarle una mayor satisfacción.</w:t>
      </w:r>
    </w:p>
    <w:p w14:paraId="65A08E8D">
      <w:pPr>
        <w:tabs>
          <w:tab w:val="left" w:pos="-720"/>
        </w:tabs>
        <w:suppressAutoHyphens/>
        <w:spacing w:line="256" w:lineRule="auto"/>
        <w:ind w:left="142" w:right="49"/>
        <w:jc w:val="both"/>
        <w:rPr>
          <w:rFonts w:eastAsia="Calibri" w:cs="Arial"/>
          <w:color w:val="000000" w:themeColor="text1"/>
          <w:spacing w:val="-3"/>
          <w:szCs w:val="24"/>
          <w14:textFill>
            <w14:solidFill>
              <w14:schemeClr w14:val="tx1"/>
            </w14:solidFill>
          </w14:textFill>
        </w:rPr>
      </w:pPr>
      <w:r>
        <w:rPr>
          <w:rFonts w:eastAsia="Calibri" w:cs="Arial"/>
          <w:color w:val="000000" w:themeColor="text1"/>
          <w:spacing w:val="-3"/>
          <w:szCs w:val="24"/>
          <w14:textFill>
            <w14:solidFill>
              <w14:schemeClr w14:val="tx1"/>
            </w14:solidFill>
          </w14:textFill>
        </w:rPr>
        <w:t xml:space="preserve">Las condiciones financieras de las líneas de crédito deberán ajustarse a las estipuladas en el manual de líneas de crédito de COOPCALLEJONA. </w:t>
      </w:r>
    </w:p>
    <w:p w14:paraId="5B89A165">
      <w:pPr>
        <w:spacing w:line="256" w:lineRule="auto"/>
        <w:ind w:left="142" w:right="49"/>
        <w:jc w:val="both"/>
        <w:rPr>
          <w:rFonts w:eastAsia="Calibri" w:cs="Arial"/>
          <w:b/>
          <w:bCs/>
          <w:color w:val="000000" w:themeColor="text1"/>
          <w:szCs w:val="24"/>
          <w:u w:val="single"/>
          <w14:textFill>
            <w14:solidFill>
              <w14:schemeClr w14:val="tx1"/>
            </w14:solidFill>
          </w14:textFill>
        </w:rPr>
      </w:pPr>
      <w:bookmarkStart w:id="145" w:name="_Toc269281869"/>
      <w:bookmarkStart w:id="146" w:name="_Toc459099314"/>
      <w:bookmarkStart w:id="147" w:name="_Toc460118388"/>
      <w:r>
        <w:rPr>
          <w:rFonts w:eastAsia="Calibri" w:cs="Arial"/>
          <w:b/>
          <w:bCs/>
          <w:color w:val="000000" w:themeColor="text1"/>
          <w:szCs w:val="24"/>
          <w:u w:val="single"/>
          <w14:textFill>
            <w14:solidFill>
              <w14:schemeClr w14:val="tx1"/>
            </w14:solidFill>
          </w14:textFill>
        </w:rPr>
        <w:t>Apalancamiento o reciprocidad</w:t>
      </w:r>
      <w:bookmarkEnd w:id="145"/>
      <w:bookmarkEnd w:id="146"/>
      <w:bookmarkEnd w:id="147"/>
    </w:p>
    <w:p w14:paraId="4A01884A">
      <w:pPr>
        <w:tabs>
          <w:tab w:val="left" w:pos="-720"/>
        </w:tabs>
        <w:suppressAutoHyphens/>
        <w:spacing w:line="256" w:lineRule="auto"/>
        <w:ind w:left="142" w:right="49"/>
        <w:jc w:val="both"/>
        <w:rPr>
          <w:rFonts w:eastAsia="Calibri" w:cs="Arial"/>
          <w:color w:val="000000" w:themeColor="text1"/>
          <w:spacing w:val="-3"/>
          <w:szCs w:val="24"/>
          <w14:textFill>
            <w14:solidFill>
              <w14:schemeClr w14:val="tx1"/>
            </w14:solidFill>
          </w14:textFill>
        </w:rPr>
      </w:pPr>
      <w:r>
        <w:rPr>
          <w:rFonts w:eastAsia="Calibri" w:cs="Arial"/>
          <w:color w:val="000000" w:themeColor="text1"/>
          <w:spacing w:val="-3"/>
          <w:szCs w:val="24"/>
          <w14:textFill>
            <w14:solidFill>
              <w14:schemeClr w14:val="tx1"/>
            </w14:solidFill>
          </w14:textFill>
        </w:rPr>
        <w:t xml:space="preserve">Se considera apalancamiento, la reciprocidad que </w:t>
      </w:r>
      <w:r>
        <w:rPr>
          <w:rFonts w:eastAsia="Calibri" w:cs="Arial"/>
          <w:b/>
          <w:color w:val="000000" w:themeColor="text1"/>
          <w:spacing w:val="-3"/>
          <w:szCs w:val="24"/>
          <w14:textFill>
            <w14:solidFill>
              <w14:schemeClr w14:val="tx1"/>
            </w14:solidFill>
          </w14:textFill>
        </w:rPr>
        <w:t>COOPCALLEJONA</w:t>
      </w:r>
      <w:r>
        <w:rPr>
          <w:rFonts w:eastAsia="Calibri" w:cs="Arial"/>
          <w:color w:val="000000" w:themeColor="text1"/>
          <w:spacing w:val="-3"/>
          <w:szCs w:val="24"/>
          <w14:textFill>
            <w14:solidFill>
              <w14:schemeClr w14:val="tx1"/>
            </w14:solidFill>
          </w14:textFill>
        </w:rPr>
        <w:t xml:space="preserve"> exige como contraprestación para el otorgamiento del crédito. El monto de la reciprocidad depende del rango de valores del crédito</w:t>
      </w:r>
      <w:bookmarkStart w:id="148" w:name="_Toc269281870"/>
      <w:bookmarkStart w:id="149" w:name="_Toc459099315"/>
      <w:bookmarkStart w:id="150" w:name="_Toc460118389"/>
      <w:r>
        <w:rPr>
          <w:rFonts w:eastAsia="Calibri" w:cs="Arial"/>
          <w:color w:val="000000" w:themeColor="text1"/>
          <w:spacing w:val="-3"/>
          <w:szCs w:val="24"/>
          <w14:textFill>
            <w14:solidFill>
              <w14:schemeClr w14:val="tx1"/>
            </w14:solidFill>
          </w14:textFill>
        </w:rPr>
        <w:t xml:space="preserve">, </w:t>
      </w:r>
      <w:bookmarkEnd w:id="148"/>
      <w:r>
        <w:rPr>
          <w:rFonts w:eastAsia="Calibri" w:cs="Arial"/>
          <w:color w:val="000000" w:themeColor="text1"/>
          <w:spacing w:val="-3"/>
          <w:szCs w:val="24"/>
          <w14:textFill>
            <w14:solidFill>
              <w14:schemeClr w14:val="tx1"/>
            </w14:solidFill>
          </w14:textFill>
        </w:rPr>
        <w:t xml:space="preserve">se aplicará de acuerdo a los parámetros ya establecidos. </w:t>
      </w:r>
    </w:p>
    <w:bookmarkEnd w:id="149"/>
    <w:bookmarkEnd w:id="150"/>
    <w:p w14:paraId="27935E2B">
      <w:pPr>
        <w:keepNext/>
        <w:numPr>
          <w:ilvl w:val="1"/>
          <w:numId w:val="34"/>
        </w:numPr>
        <w:spacing w:before="240" w:after="60" w:line="240" w:lineRule="auto"/>
        <w:ind w:left="142" w:right="49" w:firstLine="0"/>
        <w:jc w:val="both"/>
        <w:outlineLvl w:val="1"/>
        <w:rPr>
          <w:rFonts w:eastAsia="Times New Roman" w:cs="Arial"/>
          <w:b/>
          <w:bCs/>
          <w:color w:val="000000" w:themeColor="text1"/>
          <w:szCs w:val="24"/>
          <w:lang w:val="es-ES" w:eastAsia="es-ES" w:bidi="en-US"/>
          <w14:textFill>
            <w14:solidFill>
              <w14:schemeClr w14:val="tx1"/>
            </w14:solidFill>
          </w14:textFill>
        </w:rPr>
      </w:pPr>
      <w:bookmarkStart w:id="151" w:name="_Toc182642836"/>
      <w:bookmarkStart w:id="152" w:name="_Toc151443614"/>
      <w:r>
        <w:rPr>
          <w:rFonts w:eastAsia="Times New Roman" w:cs="Arial"/>
          <w:b/>
          <w:bCs/>
          <w:color w:val="000000" w:themeColor="text1"/>
          <w:szCs w:val="24"/>
          <w:lang w:val="es-ES" w:eastAsia="es-ES" w:bidi="en-US"/>
          <w14:textFill>
            <w14:solidFill>
              <w14:schemeClr w14:val="tx1"/>
            </w14:solidFill>
          </w14:textFill>
        </w:rPr>
        <w:t>Documentación Requerida</w:t>
      </w:r>
      <w:bookmarkEnd w:id="151"/>
      <w:bookmarkEnd w:id="152"/>
      <w:r>
        <w:rPr>
          <w:rFonts w:eastAsia="Times New Roman" w:cs="Arial"/>
          <w:b/>
          <w:bCs/>
          <w:color w:val="000000" w:themeColor="text1"/>
          <w:szCs w:val="24"/>
          <w:lang w:val="es-ES" w:eastAsia="es-ES" w:bidi="en-US"/>
          <w14:textFill>
            <w14:solidFill>
              <w14:schemeClr w14:val="tx1"/>
            </w14:solidFill>
          </w14:textFill>
        </w:rPr>
        <w:t xml:space="preserve"> </w:t>
      </w:r>
    </w:p>
    <w:p w14:paraId="38637EB3">
      <w:pPr>
        <w:jc w:val="both"/>
        <w:rPr>
          <w:rFonts w:cs="Arial"/>
          <w:szCs w:val="24"/>
          <w:lang w:val="es-ES"/>
        </w:rPr>
      </w:pPr>
    </w:p>
    <w:p w14:paraId="52E6E959">
      <w:pPr>
        <w:jc w:val="both"/>
        <w:rPr>
          <w:rFonts w:cs="Arial"/>
          <w:b/>
          <w:bCs/>
          <w:szCs w:val="24"/>
          <w:lang w:val="es-ES"/>
        </w:rPr>
      </w:pPr>
      <w:r>
        <w:rPr>
          <w:rFonts w:cs="Arial"/>
          <w:b/>
          <w:bCs/>
          <w:szCs w:val="24"/>
          <w:lang w:val="es-ES"/>
        </w:rPr>
        <w:t>Para Personas Naturales:</w:t>
      </w:r>
    </w:p>
    <w:p w14:paraId="3E9E6F71">
      <w:pPr>
        <w:pStyle w:val="67"/>
        <w:numPr>
          <w:ilvl w:val="0"/>
          <w:numId w:val="35"/>
        </w:numPr>
        <w:jc w:val="both"/>
        <w:rPr>
          <w:rFonts w:cs="Arial"/>
          <w:szCs w:val="24"/>
          <w:lang w:val="es-ES"/>
        </w:rPr>
      </w:pPr>
      <w:r>
        <w:rPr>
          <w:rFonts w:cs="Arial"/>
          <w:szCs w:val="24"/>
          <w:lang w:val="es-ES"/>
        </w:rPr>
        <w:t>Asalariados y pensionados:</w:t>
      </w:r>
    </w:p>
    <w:p w14:paraId="53D50DD4">
      <w:pPr>
        <w:jc w:val="both"/>
        <w:rPr>
          <w:rFonts w:cs="Arial"/>
          <w:szCs w:val="24"/>
          <w:lang w:val="es-ES"/>
        </w:rPr>
      </w:pPr>
      <w:r>
        <w:rPr>
          <w:rFonts w:cs="Arial"/>
          <w:szCs w:val="24"/>
          <w:lang w:val="es-ES"/>
        </w:rPr>
        <w:t>Los asociados personas naturales asalariadas interesadas en acceder a una operación crediticia con la Cooperativa en su calidad de solicitante o solidario deben anexar la siguiente documentación:</w:t>
      </w:r>
    </w:p>
    <w:p w14:paraId="2F8054DC">
      <w:pPr>
        <w:pStyle w:val="67"/>
        <w:numPr>
          <w:ilvl w:val="0"/>
          <w:numId w:val="36"/>
        </w:numPr>
        <w:jc w:val="both"/>
        <w:rPr>
          <w:rFonts w:cs="Arial"/>
          <w:szCs w:val="24"/>
          <w:lang w:val="es-ES"/>
        </w:rPr>
      </w:pPr>
      <w:r>
        <w:rPr>
          <w:rFonts w:cs="Arial"/>
          <w:szCs w:val="24"/>
          <w:lang w:val="es-ES"/>
        </w:rPr>
        <w:t>Formato Solicitud de Crédito F-CRE-02 totalmente diligenciado sin tachones o enmendaduras.</w:t>
      </w:r>
    </w:p>
    <w:p w14:paraId="69444367">
      <w:pPr>
        <w:pStyle w:val="67"/>
        <w:numPr>
          <w:ilvl w:val="0"/>
          <w:numId w:val="36"/>
        </w:numPr>
        <w:jc w:val="both"/>
        <w:rPr>
          <w:rFonts w:cs="Arial"/>
          <w:szCs w:val="24"/>
          <w:lang w:val="es-ES"/>
        </w:rPr>
      </w:pPr>
      <w:r>
        <w:rPr>
          <w:rFonts w:cs="Arial"/>
          <w:szCs w:val="24"/>
          <w:lang w:val="es-ES"/>
        </w:rPr>
        <w:t>Fotocopia de la cédula de ciudadanía si tramita el crédito por primera vez al 150%.</w:t>
      </w:r>
    </w:p>
    <w:p w14:paraId="1B7775B1">
      <w:pPr>
        <w:pStyle w:val="67"/>
        <w:numPr>
          <w:ilvl w:val="0"/>
          <w:numId w:val="36"/>
        </w:numPr>
        <w:jc w:val="both"/>
        <w:rPr>
          <w:rFonts w:cs="Arial"/>
          <w:szCs w:val="24"/>
          <w:lang w:val="es-ES"/>
        </w:rPr>
      </w:pPr>
      <w:r>
        <w:t>Formato de no declarante o declaración de renta si la efectúa. La misma debe ser la del año inmediatamente anterior y la vigente.</w:t>
      </w:r>
    </w:p>
    <w:p w14:paraId="7ADAAB31">
      <w:pPr>
        <w:pStyle w:val="67"/>
        <w:numPr>
          <w:ilvl w:val="0"/>
          <w:numId w:val="36"/>
        </w:numPr>
        <w:jc w:val="both"/>
        <w:rPr>
          <w:rFonts w:cs="Arial"/>
          <w:szCs w:val="24"/>
          <w:lang w:val="es-ES"/>
        </w:rPr>
      </w:pPr>
      <w:r>
        <w:rPr>
          <w:rFonts w:cs="Arial"/>
          <w:szCs w:val="24"/>
          <w:lang w:val="es-ES"/>
        </w:rPr>
        <w:t>Certificación Laboral que contenga como mínimo la siguiente información: fecha de ingreso, tipo de contrato, cargo y salario actual, con fecha de expedición no superior a treinta (30) días, para el caso de créditos con libranza, no se requiere si en los archivos de la Cooperativa se tiene un certificado con antigüedad no mayor a sesenta (60) días y ya está vinculado con crédito y libranza.</w:t>
      </w:r>
    </w:p>
    <w:p w14:paraId="31E682C5">
      <w:pPr>
        <w:pStyle w:val="67"/>
        <w:numPr>
          <w:ilvl w:val="0"/>
          <w:numId w:val="36"/>
        </w:numPr>
        <w:jc w:val="both"/>
        <w:rPr>
          <w:rFonts w:cs="Arial"/>
          <w:szCs w:val="24"/>
          <w:lang w:val="es-ES"/>
        </w:rPr>
      </w:pPr>
      <w:r>
        <w:rPr>
          <w:rFonts w:cs="Arial"/>
          <w:szCs w:val="24"/>
          <w:lang w:val="es-ES"/>
        </w:rPr>
        <w:t>Fotocopia de los desprendibles de nómina de los dos últimos meses.</w:t>
      </w:r>
    </w:p>
    <w:p w14:paraId="73337EBA">
      <w:pPr>
        <w:pStyle w:val="67"/>
        <w:numPr>
          <w:ilvl w:val="0"/>
          <w:numId w:val="36"/>
        </w:numPr>
        <w:jc w:val="both"/>
        <w:rPr>
          <w:rFonts w:cs="Arial"/>
          <w:szCs w:val="24"/>
          <w:lang w:val="es-ES"/>
        </w:rPr>
      </w:pPr>
      <w:r>
        <w:rPr>
          <w:rFonts w:cs="Arial"/>
          <w:szCs w:val="24"/>
          <w:lang w:val="es-ES"/>
        </w:rPr>
        <w:t>Certificado de ingresos y retenciones, cuando se considere necesario</w:t>
      </w:r>
    </w:p>
    <w:p w14:paraId="1991AA7F">
      <w:pPr>
        <w:pStyle w:val="67"/>
        <w:numPr>
          <w:ilvl w:val="0"/>
          <w:numId w:val="36"/>
        </w:numPr>
        <w:jc w:val="both"/>
        <w:rPr>
          <w:rFonts w:cs="Arial"/>
          <w:szCs w:val="24"/>
          <w:lang w:val="es-ES"/>
        </w:rPr>
      </w:pPr>
      <w:r>
        <w:rPr>
          <w:rFonts w:cs="Arial"/>
          <w:szCs w:val="24"/>
          <w:lang w:val="es-ES"/>
        </w:rPr>
        <w:t>Certificado de libertad y tradición cuando se trate de verificar la existencia de bienes raíces de propiedad de los deudores o solicitantes, con expedición no superior a 30 días</w:t>
      </w:r>
    </w:p>
    <w:p w14:paraId="0446869C">
      <w:pPr>
        <w:pStyle w:val="67"/>
        <w:numPr>
          <w:ilvl w:val="0"/>
          <w:numId w:val="36"/>
        </w:numPr>
        <w:jc w:val="both"/>
        <w:rPr>
          <w:rFonts w:cs="Arial"/>
          <w:szCs w:val="24"/>
          <w:lang w:val="es-ES"/>
        </w:rPr>
      </w:pPr>
      <w:r>
        <w:rPr>
          <w:rFonts w:cs="Arial"/>
          <w:szCs w:val="24"/>
          <w:lang w:val="es-ES"/>
        </w:rPr>
        <w:t>Consulta a centrales de riesgo, con expedición no superior a 30 días</w:t>
      </w:r>
    </w:p>
    <w:p w14:paraId="20A6B231">
      <w:pPr>
        <w:pStyle w:val="67"/>
        <w:numPr>
          <w:ilvl w:val="0"/>
          <w:numId w:val="36"/>
        </w:numPr>
        <w:jc w:val="both"/>
        <w:rPr>
          <w:rFonts w:cs="Arial"/>
          <w:szCs w:val="24"/>
          <w:lang w:val="es-ES"/>
        </w:rPr>
      </w:pPr>
      <w:r>
        <w:rPr>
          <w:rFonts w:cs="Arial"/>
          <w:szCs w:val="24"/>
          <w:lang w:val="es-ES"/>
        </w:rPr>
        <w:t>Fotocopia de pago a entidad educativa cuando se trate de solicitud de crédito para estudio.</w:t>
      </w:r>
    </w:p>
    <w:p w14:paraId="360EB906">
      <w:pPr>
        <w:pStyle w:val="67"/>
        <w:numPr>
          <w:ilvl w:val="0"/>
          <w:numId w:val="36"/>
        </w:numPr>
        <w:jc w:val="both"/>
        <w:rPr>
          <w:rFonts w:cs="Arial"/>
          <w:szCs w:val="24"/>
          <w:lang w:val="es-ES"/>
        </w:rPr>
      </w:pPr>
      <w:r>
        <w:rPr>
          <w:rFonts w:cs="Arial"/>
          <w:szCs w:val="24"/>
          <w:lang w:val="es-ES"/>
        </w:rPr>
        <w:t>No aplica para pensionados</w:t>
      </w:r>
    </w:p>
    <w:p w14:paraId="6DDCEFFF">
      <w:pPr>
        <w:pStyle w:val="67"/>
        <w:numPr>
          <w:ilvl w:val="0"/>
          <w:numId w:val="36"/>
        </w:numPr>
        <w:jc w:val="both"/>
        <w:rPr>
          <w:rFonts w:cs="Arial"/>
          <w:szCs w:val="24"/>
          <w:lang w:val="es-ES"/>
        </w:rPr>
      </w:pPr>
      <w:r>
        <w:rPr>
          <w:rFonts w:cs="Arial"/>
          <w:szCs w:val="24"/>
          <w:lang w:val="es-ES"/>
        </w:rPr>
        <w:t>Cualquier documento adicional que se requiera al realizar el estudio de crédito o tomar la decisión por parte de la instancia aprobatoria.</w:t>
      </w:r>
    </w:p>
    <w:p w14:paraId="4482E833">
      <w:pPr>
        <w:pStyle w:val="67"/>
        <w:numPr>
          <w:ilvl w:val="0"/>
          <w:numId w:val="36"/>
        </w:numPr>
        <w:jc w:val="both"/>
        <w:rPr>
          <w:rFonts w:cs="Arial"/>
          <w:szCs w:val="24"/>
          <w:lang w:val="es-ES"/>
        </w:rPr>
      </w:pPr>
      <w:r>
        <w:rPr>
          <w:rFonts w:cs="Arial"/>
          <w:szCs w:val="24"/>
          <w:lang w:val="es-ES"/>
        </w:rPr>
        <w:t>Se deberá obtener información de los Ingresos principales y adicionales percibidos por el asociado o deudor solidario, (si los tiene) los cuales deberán estar sustentados y soportados.</w:t>
      </w:r>
    </w:p>
    <w:p w14:paraId="28B37ECC">
      <w:pPr>
        <w:pStyle w:val="67"/>
        <w:jc w:val="both"/>
        <w:rPr>
          <w:rFonts w:cs="Arial"/>
          <w:szCs w:val="24"/>
          <w:lang w:val="es-ES"/>
        </w:rPr>
      </w:pPr>
    </w:p>
    <w:p w14:paraId="059B66F4">
      <w:pPr>
        <w:jc w:val="both"/>
        <w:rPr>
          <w:rFonts w:cs="Arial"/>
          <w:b/>
          <w:bCs/>
          <w:szCs w:val="24"/>
          <w:lang w:val="es-ES"/>
        </w:rPr>
      </w:pPr>
      <w:r>
        <w:rPr>
          <w:rFonts w:cs="Arial"/>
          <w:b/>
          <w:bCs/>
          <w:szCs w:val="24"/>
          <w:lang w:val="es-ES"/>
        </w:rPr>
        <w:t>Personas Naturales Independientes.</w:t>
      </w:r>
    </w:p>
    <w:p w14:paraId="054972A1">
      <w:pPr>
        <w:jc w:val="both"/>
        <w:rPr>
          <w:rFonts w:cs="Arial"/>
          <w:szCs w:val="24"/>
          <w:lang w:val="es-ES"/>
        </w:rPr>
      </w:pPr>
      <w:r>
        <w:rPr>
          <w:rFonts w:cs="Arial"/>
          <w:szCs w:val="24"/>
          <w:lang w:val="es-ES"/>
        </w:rPr>
        <w:t>Los asociados personas naturales independientes interesadas en acceder a una operación crediticia con la Cooperativa en su calidad de solicitante o solidario deben anexar la siguiente documentación:</w:t>
      </w:r>
    </w:p>
    <w:p w14:paraId="6DBF3CC3">
      <w:pPr>
        <w:jc w:val="both"/>
        <w:rPr>
          <w:rFonts w:cs="Arial"/>
          <w:szCs w:val="24"/>
          <w:lang w:val="es-ES"/>
        </w:rPr>
      </w:pPr>
      <w:r>
        <w:rPr>
          <w:rFonts w:cs="Arial"/>
          <w:szCs w:val="24"/>
          <w:lang w:val="es-ES"/>
        </w:rPr>
        <w:t>Negocios Formales:</w:t>
      </w:r>
    </w:p>
    <w:p w14:paraId="3E002893">
      <w:pPr>
        <w:pStyle w:val="67"/>
        <w:numPr>
          <w:ilvl w:val="0"/>
          <w:numId w:val="37"/>
        </w:numPr>
        <w:jc w:val="both"/>
        <w:rPr>
          <w:rFonts w:cs="Arial"/>
          <w:szCs w:val="24"/>
          <w:lang w:val="es-ES"/>
        </w:rPr>
      </w:pPr>
      <w:r>
        <w:rPr>
          <w:rFonts w:cs="Arial"/>
          <w:szCs w:val="24"/>
          <w:lang w:val="es-ES"/>
        </w:rPr>
        <w:t>Formato</w:t>
      </w:r>
      <w:r>
        <w:rPr>
          <w:rFonts w:cs="Arial"/>
          <w:szCs w:val="24"/>
          <w:lang w:val="es-ES"/>
        </w:rPr>
        <w:tab/>
      </w:r>
      <w:r>
        <w:rPr>
          <w:rFonts w:cs="Arial"/>
          <w:szCs w:val="24"/>
          <w:lang w:val="es-ES"/>
        </w:rPr>
        <w:t>Solicitud de Crédito F-CRE-02 totalmente diligenciada sin tachones o enmendaduras.</w:t>
      </w:r>
    </w:p>
    <w:p w14:paraId="272171A3">
      <w:pPr>
        <w:pStyle w:val="67"/>
        <w:numPr>
          <w:ilvl w:val="0"/>
          <w:numId w:val="37"/>
        </w:numPr>
        <w:jc w:val="both"/>
        <w:rPr>
          <w:rFonts w:cs="Arial"/>
          <w:szCs w:val="24"/>
          <w:lang w:val="es-ES"/>
        </w:rPr>
      </w:pPr>
      <w:r>
        <w:rPr>
          <w:rFonts w:cs="Arial"/>
          <w:szCs w:val="24"/>
          <w:lang w:val="es-ES"/>
        </w:rPr>
        <w:t>Fotocopia legible de la cédula de ciudadanía si tramita el crédito por primera vez ampliada al 150%.</w:t>
      </w:r>
    </w:p>
    <w:p w14:paraId="49114119">
      <w:pPr>
        <w:pStyle w:val="67"/>
        <w:numPr>
          <w:ilvl w:val="0"/>
          <w:numId w:val="37"/>
        </w:numPr>
        <w:jc w:val="both"/>
        <w:rPr>
          <w:rFonts w:cs="Arial"/>
          <w:szCs w:val="24"/>
          <w:lang w:val="es-ES"/>
        </w:rPr>
      </w:pPr>
      <w:r>
        <w:rPr>
          <w:rFonts w:cs="Arial"/>
          <w:szCs w:val="24"/>
          <w:lang w:val="es-ES"/>
        </w:rPr>
        <w:t>Fotocopia legible del Registro Único Tributario (R.U.T.) (Cuando aplique)</w:t>
      </w:r>
    </w:p>
    <w:p w14:paraId="35FB2F7A">
      <w:pPr>
        <w:pStyle w:val="67"/>
        <w:numPr>
          <w:ilvl w:val="0"/>
          <w:numId w:val="37"/>
        </w:numPr>
        <w:jc w:val="both"/>
        <w:rPr>
          <w:rFonts w:cs="Arial"/>
          <w:szCs w:val="24"/>
          <w:lang w:val="es-ES"/>
        </w:rPr>
      </w:pPr>
      <w:r>
        <w:rPr>
          <w:rFonts w:cs="Arial"/>
          <w:szCs w:val="24"/>
          <w:lang w:val="es-ES"/>
        </w:rPr>
        <w:t>Recibo de pago de industria y comercio que permita verificar el funcionamiento del establecimiento de comercio, si lo tiene.</w:t>
      </w:r>
    </w:p>
    <w:p w14:paraId="00593B88">
      <w:pPr>
        <w:pStyle w:val="67"/>
        <w:numPr>
          <w:ilvl w:val="0"/>
          <w:numId w:val="37"/>
        </w:numPr>
        <w:jc w:val="both"/>
        <w:rPr>
          <w:rFonts w:cs="Arial"/>
          <w:szCs w:val="24"/>
          <w:lang w:val="es-ES"/>
        </w:rPr>
      </w:pPr>
      <w:r>
        <w:rPr>
          <w:rFonts w:cs="Arial"/>
          <w:szCs w:val="24"/>
          <w:lang w:val="es-ES"/>
        </w:rPr>
        <w:t>Balance General y Estado de Resultados de los dos últimos años y de máximo tres meses antes de la presentación de la solicitud, debidamente firmados por Contador Público, o Revisor Fiscal (según aplique) si cuenta con esta información.</w:t>
      </w:r>
    </w:p>
    <w:p w14:paraId="7A4D8C92">
      <w:pPr>
        <w:pStyle w:val="67"/>
        <w:numPr>
          <w:ilvl w:val="0"/>
          <w:numId w:val="37"/>
        </w:numPr>
        <w:jc w:val="both"/>
        <w:rPr>
          <w:rFonts w:cs="Arial"/>
          <w:szCs w:val="24"/>
          <w:lang w:val="es-ES"/>
        </w:rPr>
      </w:pPr>
      <w:r>
        <w:rPr>
          <w:rFonts w:cs="Arial"/>
          <w:szCs w:val="24"/>
          <w:lang w:val="es-ES"/>
        </w:rPr>
        <w:t>Extractos bancarios de los últimos tres (3) meses, en cuentas corrientes o de ahorros.</w:t>
      </w:r>
    </w:p>
    <w:p w14:paraId="0C16B7C7">
      <w:pPr>
        <w:pStyle w:val="67"/>
        <w:numPr>
          <w:ilvl w:val="0"/>
          <w:numId w:val="37"/>
        </w:numPr>
        <w:jc w:val="both"/>
        <w:rPr>
          <w:rFonts w:cs="Arial"/>
          <w:szCs w:val="24"/>
          <w:lang w:val="es-ES"/>
        </w:rPr>
      </w:pPr>
      <w:r>
        <w:rPr>
          <w:rFonts w:cs="Arial"/>
          <w:szCs w:val="24"/>
          <w:lang w:val="es-ES"/>
        </w:rPr>
        <w:t>Declaración de Renta o Formato Certificado no Declarante F-CRE-04 último año gravable.</w:t>
      </w:r>
    </w:p>
    <w:p w14:paraId="5E94FD05">
      <w:pPr>
        <w:pStyle w:val="67"/>
        <w:numPr>
          <w:ilvl w:val="0"/>
          <w:numId w:val="37"/>
        </w:numPr>
        <w:jc w:val="both"/>
        <w:rPr>
          <w:rFonts w:cs="Arial"/>
          <w:szCs w:val="24"/>
          <w:lang w:val="es-ES"/>
        </w:rPr>
      </w:pPr>
      <w:r>
        <w:rPr>
          <w:rFonts w:cs="Arial"/>
          <w:szCs w:val="24"/>
          <w:lang w:val="es-ES"/>
        </w:rPr>
        <w:t>Certificado de libertad y tradición cuando se trate de verificar la existencia de bienes raíces de propiedad de los deudores o solicitantes, con expedición no superior a 30 días</w:t>
      </w:r>
    </w:p>
    <w:p w14:paraId="14BB9DB5">
      <w:pPr>
        <w:pStyle w:val="67"/>
        <w:numPr>
          <w:ilvl w:val="0"/>
          <w:numId w:val="37"/>
        </w:numPr>
        <w:jc w:val="both"/>
        <w:rPr>
          <w:rFonts w:cs="Arial"/>
          <w:szCs w:val="24"/>
          <w:lang w:val="es-ES"/>
        </w:rPr>
      </w:pPr>
      <w:r>
        <w:rPr>
          <w:rFonts w:cs="Arial"/>
          <w:szCs w:val="24"/>
          <w:lang w:val="es-ES"/>
        </w:rPr>
        <w:t>Facturas de compra y venta que acrediten sus transacciones comerciales, cuando la evaluación o el ente decisorio así lo requiera.</w:t>
      </w:r>
    </w:p>
    <w:p w14:paraId="7C9DEA03">
      <w:pPr>
        <w:pStyle w:val="67"/>
        <w:numPr>
          <w:ilvl w:val="0"/>
          <w:numId w:val="37"/>
        </w:numPr>
        <w:jc w:val="both"/>
        <w:rPr>
          <w:rFonts w:cs="Arial"/>
          <w:szCs w:val="24"/>
          <w:lang w:val="es-ES"/>
        </w:rPr>
      </w:pPr>
      <w:r>
        <w:rPr>
          <w:rFonts w:cs="Arial"/>
          <w:szCs w:val="24"/>
          <w:lang w:val="es-ES"/>
        </w:rPr>
        <w:t>Formato Visita Independientes F-CRE-06, para créditos superiores a 10 S.M.M.L.V</w:t>
      </w:r>
    </w:p>
    <w:p w14:paraId="51277D4F">
      <w:pPr>
        <w:pStyle w:val="67"/>
        <w:numPr>
          <w:ilvl w:val="0"/>
          <w:numId w:val="37"/>
        </w:numPr>
        <w:jc w:val="both"/>
        <w:rPr>
          <w:rFonts w:cs="Arial"/>
          <w:szCs w:val="24"/>
          <w:lang w:val="es-ES"/>
        </w:rPr>
      </w:pPr>
      <w:r>
        <w:rPr>
          <w:rFonts w:cs="Arial"/>
          <w:szCs w:val="24"/>
          <w:lang w:val="es-ES"/>
        </w:rPr>
        <w:t>Cualquier documento adicional que se requiera al realizar el estudio de crédito o tomar la decisión por parte de la instancia aprobatoria.</w:t>
      </w:r>
    </w:p>
    <w:p w14:paraId="72FF223A">
      <w:pPr>
        <w:pStyle w:val="67"/>
        <w:numPr>
          <w:ilvl w:val="0"/>
          <w:numId w:val="37"/>
        </w:numPr>
        <w:jc w:val="both"/>
        <w:rPr>
          <w:rFonts w:cs="Arial"/>
          <w:szCs w:val="24"/>
          <w:lang w:val="es-ES"/>
        </w:rPr>
      </w:pPr>
      <w:r>
        <w:rPr>
          <w:rFonts w:cs="Arial"/>
          <w:szCs w:val="24"/>
          <w:lang w:val="es-ES"/>
        </w:rPr>
        <w:t>Consulta de la central de riesgo, con expedición no superior a 30 días</w:t>
      </w:r>
    </w:p>
    <w:p w14:paraId="40D105CE">
      <w:pPr>
        <w:jc w:val="both"/>
        <w:rPr>
          <w:rFonts w:cs="Arial"/>
          <w:szCs w:val="24"/>
          <w:lang w:val="es-ES"/>
        </w:rPr>
      </w:pPr>
    </w:p>
    <w:p w14:paraId="6F63BBCF">
      <w:pPr>
        <w:jc w:val="both"/>
        <w:rPr>
          <w:rFonts w:cs="Arial"/>
          <w:szCs w:val="24"/>
          <w:lang w:val="es-ES"/>
        </w:rPr>
      </w:pPr>
      <w:r>
        <w:rPr>
          <w:rFonts w:cs="Arial"/>
          <w:szCs w:val="24"/>
          <w:lang w:val="es-ES"/>
        </w:rPr>
        <w:t>Negocios Informales:</w:t>
      </w:r>
    </w:p>
    <w:p w14:paraId="698D18F2">
      <w:pPr>
        <w:pStyle w:val="67"/>
        <w:numPr>
          <w:ilvl w:val="0"/>
          <w:numId w:val="38"/>
        </w:numPr>
        <w:jc w:val="both"/>
        <w:rPr>
          <w:rFonts w:cs="Arial"/>
          <w:szCs w:val="24"/>
          <w:lang w:val="es-ES"/>
        </w:rPr>
      </w:pPr>
      <w:r>
        <w:rPr>
          <w:rFonts w:cs="Arial"/>
          <w:szCs w:val="24"/>
          <w:lang w:val="es-ES"/>
        </w:rPr>
        <w:t>Formato Solicitud de Crédito F-CRE-02 totalmente diligenciada sin tachones o enmendaduras.</w:t>
      </w:r>
    </w:p>
    <w:p w14:paraId="6502E350">
      <w:pPr>
        <w:pStyle w:val="67"/>
        <w:numPr>
          <w:ilvl w:val="0"/>
          <w:numId w:val="38"/>
        </w:numPr>
        <w:jc w:val="both"/>
        <w:rPr>
          <w:rFonts w:cs="Arial"/>
          <w:szCs w:val="24"/>
          <w:lang w:val="es-ES"/>
        </w:rPr>
      </w:pPr>
      <w:r>
        <w:rPr>
          <w:rFonts w:cs="Arial"/>
          <w:szCs w:val="24"/>
          <w:lang w:val="es-ES"/>
        </w:rPr>
        <w:t>Fotocopia legible del original de la cédula de ciudadanía ampliada al 150%, si tramita el crédito por primera vez.</w:t>
      </w:r>
    </w:p>
    <w:p w14:paraId="3AD76761">
      <w:pPr>
        <w:pStyle w:val="67"/>
        <w:numPr>
          <w:ilvl w:val="0"/>
          <w:numId w:val="38"/>
        </w:numPr>
        <w:jc w:val="both"/>
        <w:rPr>
          <w:rFonts w:cs="Arial"/>
          <w:szCs w:val="24"/>
          <w:lang w:val="es-ES"/>
        </w:rPr>
      </w:pPr>
      <w:r>
        <w:rPr>
          <w:rFonts w:cs="Arial"/>
          <w:szCs w:val="24"/>
          <w:lang w:val="es-ES"/>
        </w:rPr>
        <w:t>Fotocopia legible Registro Único Tributario (R.U.T.) o soporte que acredite la actividad económica.</w:t>
      </w:r>
    </w:p>
    <w:p w14:paraId="74A5BC9E">
      <w:pPr>
        <w:pStyle w:val="67"/>
        <w:numPr>
          <w:ilvl w:val="0"/>
          <w:numId w:val="38"/>
        </w:numPr>
        <w:jc w:val="both"/>
        <w:rPr>
          <w:rFonts w:cs="Arial"/>
          <w:szCs w:val="24"/>
          <w:lang w:val="es-ES"/>
        </w:rPr>
      </w:pPr>
      <w:r>
        <w:rPr>
          <w:rFonts w:cs="Arial"/>
          <w:szCs w:val="24"/>
          <w:lang w:val="es-ES"/>
        </w:rPr>
        <w:t>Certificación de ingresos firmado por Contador Público, con fotocopias de la Tarjeta de Profesional y del original de la Cedula de Ciudadanía ampliadas al 150% o soportes que acrediten los ingresos.</w:t>
      </w:r>
    </w:p>
    <w:p w14:paraId="1541E513">
      <w:pPr>
        <w:pStyle w:val="67"/>
        <w:numPr>
          <w:ilvl w:val="0"/>
          <w:numId w:val="38"/>
        </w:numPr>
        <w:jc w:val="both"/>
        <w:rPr>
          <w:rFonts w:cs="Arial"/>
          <w:szCs w:val="24"/>
          <w:lang w:val="es-ES"/>
        </w:rPr>
      </w:pPr>
      <w:r>
        <w:rPr>
          <w:rFonts w:cs="Arial"/>
          <w:szCs w:val="24"/>
          <w:lang w:val="es-ES"/>
        </w:rPr>
        <w:t>Declaración de Renta último año gravable o Formato Certificado no Declarante de renta F- CRE-04.</w:t>
      </w:r>
    </w:p>
    <w:p w14:paraId="1BFDBE21">
      <w:pPr>
        <w:pStyle w:val="67"/>
        <w:numPr>
          <w:ilvl w:val="0"/>
          <w:numId w:val="38"/>
        </w:numPr>
        <w:jc w:val="both"/>
        <w:rPr>
          <w:rFonts w:cs="Arial"/>
          <w:szCs w:val="24"/>
          <w:lang w:val="es-ES"/>
        </w:rPr>
      </w:pPr>
      <w:r>
        <w:rPr>
          <w:rFonts w:cs="Arial"/>
          <w:szCs w:val="24"/>
          <w:lang w:val="es-ES"/>
        </w:rPr>
        <w:t>Informe de Visita, para créditos superiores a 4 S.M.M.L.V</w:t>
      </w:r>
    </w:p>
    <w:p w14:paraId="7073C29D">
      <w:pPr>
        <w:pStyle w:val="67"/>
        <w:numPr>
          <w:ilvl w:val="0"/>
          <w:numId w:val="38"/>
        </w:numPr>
        <w:jc w:val="both"/>
        <w:rPr>
          <w:rFonts w:cs="Arial"/>
          <w:szCs w:val="24"/>
          <w:lang w:val="es-ES"/>
        </w:rPr>
      </w:pPr>
      <w:r>
        <w:rPr>
          <w:rFonts w:cs="Arial"/>
          <w:szCs w:val="24"/>
          <w:lang w:val="es-ES"/>
        </w:rPr>
        <w:t>Facturas de compra y venta que acrediten sus transacciones comerciales, cuando la evaluación o el ente decisorio así lo requiera.</w:t>
      </w:r>
    </w:p>
    <w:p w14:paraId="23FDFDF1">
      <w:pPr>
        <w:pStyle w:val="67"/>
        <w:numPr>
          <w:ilvl w:val="0"/>
          <w:numId w:val="38"/>
        </w:numPr>
        <w:jc w:val="both"/>
        <w:rPr>
          <w:rFonts w:cs="Arial"/>
          <w:szCs w:val="24"/>
          <w:lang w:val="es-ES"/>
        </w:rPr>
      </w:pPr>
      <w:r>
        <w:rPr>
          <w:rFonts w:cs="Arial"/>
          <w:szCs w:val="24"/>
          <w:lang w:val="es-ES"/>
        </w:rPr>
        <w:t>Cualquier documento adicional que se requiera al realizar el estudio de crédito o tomar la decisión por parte de la instancia aprobatoria.</w:t>
      </w:r>
    </w:p>
    <w:p w14:paraId="398A8AC3">
      <w:pPr>
        <w:pStyle w:val="67"/>
        <w:numPr>
          <w:ilvl w:val="0"/>
          <w:numId w:val="38"/>
        </w:numPr>
        <w:jc w:val="both"/>
        <w:rPr>
          <w:rFonts w:cs="Arial"/>
          <w:szCs w:val="24"/>
          <w:lang w:val="es-ES"/>
        </w:rPr>
      </w:pPr>
      <w:r>
        <w:rPr>
          <w:rFonts w:cs="Arial"/>
          <w:szCs w:val="24"/>
          <w:lang w:val="es-ES"/>
        </w:rPr>
        <w:t>Consulta de la central de riesgo, con expedición no superior a 30 días</w:t>
      </w:r>
    </w:p>
    <w:p w14:paraId="12FA2878">
      <w:pPr>
        <w:jc w:val="both"/>
        <w:rPr>
          <w:rFonts w:cs="Arial"/>
          <w:szCs w:val="24"/>
          <w:lang w:val="es-ES"/>
        </w:rPr>
      </w:pPr>
    </w:p>
    <w:p w14:paraId="7228F34F">
      <w:pPr>
        <w:jc w:val="both"/>
        <w:rPr>
          <w:rFonts w:cs="Arial"/>
          <w:szCs w:val="24"/>
          <w:lang w:val="es-ES"/>
        </w:rPr>
      </w:pPr>
      <w:r>
        <w:rPr>
          <w:rFonts w:cs="Arial"/>
          <w:szCs w:val="24"/>
          <w:lang w:val="es-ES"/>
        </w:rPr>
        <w:t>Personas jurídicas</w:t>
      </w:r>
    </w:p>
    <w:p w14:paraId="280B21F3">
      <w:pPr>
        <w:jc w:val="both"/>
        <w:rPr>
          <w:rFonts w:cs="Arial"/>
          <w:szCs w:val="24"/>
          <w:lang w:val="es-ES"/>
        </w:rPr>
      </w:pPr>
      <w:r>
        <w:rPr>
          <w:rFonts w:cs="Arial"/>
          <w:szCs w:val="24"/>
          <w:lang w:val="es-ES"/>
        </w:rPr>
        <w:t>Para el estudio de crédito de las personas jurídicas sin ánimo de lucro se requiere la siguiente documentación:</w:t>
      </w:r>
    </w:p>
    <w:p w14:paraId="4E2231AE">
      <w:pPr>
        <w:jc w:val="both"/>
        <w:rPr>
          <w:rFonts w:cs="Arial"/>
          <w:szCs w:val="24"/>
          <w:lang w:val="es-ES"/>
        </w:rPr>
      </w:pPr>
    </w:p>
    <w:p w14:paraId="10D8C837">
      <w:pPr>
        <w:pStyle w:val="67"/>
        <w:numPr>
          <w:ilvl w:val="0"/>
          <w:numId w:val="39"/>
        </w:numPr>
        <w:jc w:val="both"/>
        <w:rPr>
          <w:rFonts w:cs="Arial"/>
          <w:szCs w:val="24"/>
          <w:lang w:val="es-ES"/>
        </w:rPr>
      </w:pPr>
      <w:r>
        <w:rPr>
          <w:rFonts w:cs="Arial"/>
          <w:szCs w:val="24"/>
          <w:lang w:val="es-ES"/>
        </w:rPr>
        <w:t>Solicitud de Crédito totalmente diligenciada sin tachones o enmendaduras.</w:t>
      </w:r>
    </w:p>
    <w:p w14:paraId="67859DF3">
      <w:pPr>
        <w:pStyle w:val="67"/>
        <w:numPr>
          <w:ilvl w:val="0"/>
          <w:numId w:val="39"/>
        </w:numPr>
        <w:jc w:val="both"/>
        <w:rPr>
          <w:rFonts w:cs="Arial"/>
          <w:szCs w:val="24"/>
          <w:lang w:val="es-ES"/>
        </w:rPr>
      </w:pPr>
      <w:r>
        <w:rPr>
          <w:rFonts w:cs="Arial"/>
          <w:szCs w:val="24"/>
          <w:lang w:val="es-ES"/>
        </w:rPr>
        <w:t>Fotocopia legible del Registro Único Tributario (RUT), si tramita el crédito por primera vez (Cuando aplique)</w:t>
      </w:r>
    </w:p>
    <w:p w14:paraId="0C09676B">
      <w:pPr>
        <w:pStyle w:val="67"/>
        <w:numPr>
          <w:ilvl w:val="0"/>
          <w:numId w:val="39"/>
        </w:numPr>
        <w:jc w:val="both"/>
        <w:rPr>
          <w:rFonts w:cs="Arial"/>
          <w:szCs w:val="24"/>
          <w:lang w:val="es-ES"/>
        </w:rPr>
      </w:pPr>
      <w:r>
        <w:rPr>
          <w:rFonts w:cs="Arial"/>
          <w:szCs w:val="24"/>
          <w:lang w:val="es-ES"/>
        </w:rPr>
        <w:t>Certificado de Existencia y Representación Legal expedido por la Cámara de Comercio   o por la entidad gubernamental correspondiente, con vigencia no mayor a treinta (30) días.</w:t>
      </w:r>
    </w:p>
    <w:p w14:paraId="5FD13C2D">
      <w:pPr>
        <w:pStyle w:val="67"/>
        <w:numPr>
          <w:ilvl w:val="0"/>
          <w:numId w:val="39"/>
        </w:numPr>
        <w:jc w:val="both"/>
        <w:rPr>
          <w:rFonts w:cs="Arial"/>
          <w:szCs w:val="24"/>
          <w:lang w:val="es-ES"/>
        </w:rPr>
      </w:pPr>
      <w:r>
        <w:rPr>
          <w:rFonts w:cs="Arial"/>
          <w:szCs w:val="24"/>
          <w:lang w:val="es-ES"/>
        </w:rPr>
        <w:t>Fotocopia de la cedula del representante legal</w:t>
      </w:r>
    </w:p>
    <w:p w14:paraId="78FE6F0C">
      <w:pPr>
        <w:pStyle w:val="67"/>
        <w:numPr>
          <w:ilvl w:val="0"/>
          <w:numId w:val="39"/>
        </w:numPr>
        <w:jc w:val="both"/>
        <w:rPr>
          <w:rFonts w:cs="Arial"/>
          <w:szCs w:val="24"/>
          <w:lang w:val="es-ES"/>
        </w:rPr>
      </w:pPr>
      <w:r>
        <w:rPr>
          <w:rFonts w:cs="Arial"/>
          <w:szCs w:val="24"/>
          <w:lang w:val="es-ES"/>
        </w:rPr>
        <w:t>Balance General y Estado de Resultados de los dos últimos años, con sus respectivos anexos, estados financieros del año en ejercicio máximo de tres meses atrás debidamente firmados por el Representante Legal y Contador Público o Revisor Fiscal según corresponda,</w:t>
      </w:r>
    </w:p>
    <w:p w14:paraId="53F7245B">
      <w:pPr>
        <w:pStyle w:val="67"/>
        <w:numPr>
          <w:ilvl w:val="0"/>
          <w:numId w:val="39"/>
        </w:numPr>
        <w:jc w:val="both"/>
        <w:rPr>
          <w:rFonts w:cs="Arial"/>
          <w:szCs w:val="24"/>
          <w:lang w:val="es-ES"/>
        </w:rPr>
      </w:pPr>
      <w:r>
        <w:rPr>
          <w:rFonts w:cs="Arial"/>
          <w:szCs w:val="24"/>
          <w:lang w:val="es-ES"/>
        </w:rPr>
        <w:t>En caso de proyecto de inversión flujo de Caja que incluya proyecto de inversión (tipo de actividad económica, niveles de producción y tiempo estimados, nivel de ingresos, costos, gastos, etc.)</w:t>
      </w:r>
    </w:p>
    <w:p w14:paraId="4B3AA0C8">
      <w:pPr>
        <w:pStyle w:val="67"/>
        <w:numPr>
          <w:ilvl w:val="0"/>
          <w:numId w:val="39"/>
        </w:numPr>
        <w:jc w:val="both"/>
        <w:rPr>
          <w:rFonts w:cs="Arial"/>
          <w:szCs w:val="24"/>
          <w:lang w:val="es-ES"/>
        </w:rPr>
      </w:pPr>
      <w:r>
        <w:rPr>
          <w:rFonts w:cs="Arial"/>
          <w:szCs w:val="24"/>
          <w:lang w:val="es-ES"/>
        </w:rPr>
        <w:t>Acta o documento donde consten las atribuciones del representante legal para adquirir obligaciones</w:t>
      </w:r>
    </w:p>
    <w:p w14:paraId="2336FDD0">
      <w:pPr>
        <w:pStyle w:val="67"/>
        <w:numPr>
          <w:ilvl w:val="0"/>
          <w:numId w:val="39"/>
        </w:numPr>
        <w:jc w:val="both"/>
        <w:rPr>
          <w:rFonts w:cs="Arial"/>
          <w:szCs w:val="24"/>
          <w:lang w:val="es-ES"/>
        </w:rPr>
      </w:pPr>
      <w:r>
        <w:rPr>
          <w:rFonts w:cs="Arial"/>
          <w:szCs w:val="24"/>
          <w:lang w:val="es-ES"/>
        </w:rPr>
        <w:t>Copia del Acta de Consejo de Administración donde autoricen el endeudamiento.</w:t>
      </w:r>
    </w:p>
    <w:p w14:paraId="74BDCB2C">
      <w:pPr>
        <w:pStyle w:val="67"/>
        <w:numPr>
          <w:ilvl w:val="0"/>
          <w:numId w:val="39"/>
        </w:numPr>
        <w:jc w:val="both"/>
        <w:rPr>
          <w:rFonts w:cs="Arial"/>
          <w:szCs w:val="24"/>
          <w:lang w:val="es-ES"/>
        </w:rPr>
      </w:pPr>
      <w:r>
        <w:rPr>
          <w:rFonts w:cs="Arial"/>
          <w:szCs w:val="24"/>
          <w:lang w:val="es-ES"/>
        </w:rPr>
        <w:t>Consulta de la central de riesgo, con expedición no superior a 30 días</w:t>
      </w:r>
    </w:p>
    <w:p w14:paraId="13E19BA8">
      <w:pPr>
        <w:ind w:left="360"/>
        <w:jc w:val="both"/>
        <w:rPr>
          <w:rFonts w:cs="Arial"/>
          <w:szCs w:val="24"/>
          <w:lang w:val="es-ES"/>
        </w:rPr>
      </w:pPr>
    </w:p>
    <w:p w14:paraId="47F18BBB">
      <w:pPr>
        <w:ind w:left="360"/>
        <w:jc w:val="both"/>
        <w:rPr>
          <w:rFonts w:cs="Arial"/>
          <w:szCs w:val="24"/>
          <w:lang w:val="es-ES"/>
        </w:rPr>
      </w:pPr>
    </w:p>
    <w:p w14:paraId="14FAFA3A">
      <w:pPr>
        <w:keepNext/>
        <w:numPr>
          <w:ilvl w:val="1"/>
          <w:numId w:val="34"/>
        </w:numPr>
        <w:spacing w:before="240" w:after="60" w:line="240" w:lineRule="auto"/>
        <w:ind w:left="142" w:right="49" w:firstLine="0"/>
        <w:jc w:val="both"/>
        <w:outlineLvl w:val="1"/>
        <w:rPr>
          <w:rFonts w:eastAsia="Times New Roman" w:cs="Arial"/>
          <w:b/>
          <w:bCs/>
          <w:color w:val="000000" w:themeColor="text1"/>
          <w:szCs w:val="24"/>
          <w:lang w:val="es-ES" w:eastAsia="es-ES" w:bidi="en-US"/>
          <w14:textFill>
            <w14:solidFill>
              <w14:schemeClr w14:val="tx1"/>
            </w14:solidFill>
          </w14:textFill>
        </w:rPr>
      </w:pPr>
      <w:bookmarkStart w:id="153" w:name="_Toc182642837"/>
      <w:r>
        <w:rPr>
          <w:rFonts w:eastAsia="Times New Roman" w:cs="Arial"/>
          <w:b/>
          <w:bCs/>
          <w:color w:val="000000" w:themeColor="text1"/>
          <w:szCs w:val="24"/>
          <w:lang w:val="es-ES" w:eastAsia="es-ES" w:bidi="en-US"/>
          <w14:textFill>
            <w14:solidFill>
              <w14:schemeClr w14:val="tx1"/>
            </w14:solidFill>
          </w14:textFill>
        </w:rPr>
        <w:t>Características del deudor y codeudor</w:t>
      </w:r>
      <w:bookmarkEnd w:id="153"/>
      <w:r>
        <w:rPr>
          <w:rFonts w:eastAsia="Times New Roman" w:cs="Arial"/>
          <w:b/>
          <w:bCs/>
          <w:color w:val="000000" w:themeColor="text1"/>
          <w:szCs w:val="24"/>
          <w:lang w:val="es-ES" w:eastAsia="es-ES" w:bidi="en-US"/>
          <w14:textFill>
            <w14:solidFill>
              <w14:schemeClr w14:val="tx1"/>
            </w14:solidFill>
          </w14:textFill>
        </w:rPr>
        <w:t xml:space="preserve"> </w:t>
      </w:r>
    </w:p>
    <w:p w14:paraId="4BDE8E35">
      <w:pPr>
        <w:jc w:val="both"/>
        <w:rPr>
          <w:rFonts w:cs="Arial"/>
          <w:szCs w:val="24"/>
          <w:lang w:val="es-ES"/>
        </w:rPr>
      </w:pPr>
      <w:r>
        <w:rPr>
          <w:rFonts w:cs="Arial"/>
          <w:szCs w:val="24"/>
          <w:lang w:val="es-ES"/>
        </w:rPr>
        <w:t>Los deudores solidarios de COOPCALLEJONA deben reunir algunas características básicas que citamos a continuación:</w:t>
      </w:r>
    </w:p>
    <w:p w14:paraId="340267FD">
      <w:pPr>
        <w:jc w:val="both"/>
        <w:rPr>
          <w:rFonts w:cs="Arial"/>
          <w:szCs w:val="24"/>
          <w:lang w:val="es-ES"/>
        </w:rPr>
      </w:pPr>
      <w:r>
        <w:rPr>
          <w:rFonts w:cs="Arial"/>
          <w:szCs w:val="24"/>
          <w:lang w:val="es-ES"/>
        </w:rPr>
        <w:t>Deudor:</w:t>
      </w:r>
    </w:p>
    <w:p w14:paraId="5B5C1B7E">
      <w:pPr>
        <w:pStyle w:val="67"/>
        <w:numPr>
          <w:ilvl w:val="0"/>
          <w:numId w:val="29"/>
        </w:numPr>
        <w:jc w:val="both"/>
        <w:rPr>
          <w:rFonts w:cs="Arial"/>
          <w:szCs w:val="24"/>
          <w:lang w:val="es-ES"/>
        </w:rPr>
      </w:pPr>
      <w:r>
        <w:rPr>
          <w:rFonts w:cs="Arial"/>
          <w:szCs w:val="24"/>
          <w:lang w:val="es-ES"/>
        </w:rPr>
        <w:t>Ser colombiano, o extranjeros que cuenten con cedula de extranjería.</w:t>
      </w:r>
    </w:p>
    <w:p w14:paraId="77978EA8">
      <w:pPr>
        <w:pStyle w:val="67"/>
        <w:numPr>
          <w:ilvl w:val="0"/>
          <w:numId w:val="29"/>
        </w:numPr>
        <w:jc w:val="both"/>
        <w:rPr>
          <w:rFonts w:cs="Arial"/>
          <w:szCs w:val="24"/>
          <w:lang w:val="es-ES"/>
        </w:rPr>
      </w:pPr>
      <w:r>
        <w:rPr>
          <w:rFonts w:cs="Arial"/>
          <w:szCs w:val="24"/>
          <w:lang w:val="es-ES"/>
        </w:rPr>
        <w:t>Ser mayor de edad.</w:t>
      </w:r>
    </w:p>
    <w:p w14:paraId="0C48B3BA">
      <w:pPr>
        <w:pStyle w:val="67"/>
        <w:numPr>
          <w:ilvl w:val="0"/>
          <w:numId w:val="29"/>
        </w:numPr>
        <w:jc w:val="both"/>
        <w:rPr>
          <w:rFonts w:cs="Arial"/>
          <w:szCs w:val="24"/>
          <w:lang w:val="es-ES"/>
        </w:rPr>
      </w:pPr>
      <w:r>
        <w:rPr>
          <w:rFonts w:cs="Arial"/>
          <w:szCs w:val="24"/>
          <w:lang w:val="es-ES"/>
        </w:rPr>
        <w:t>El límite de edad para que los asociados soliciten crédito estará de acuerdo con las condiciones que establezca las aseguradoras en la póliza de seguro deudores que se encuentre vigente al momento de la aprobación del crédito.</w:t>
      </w:r>
    </w:p>
    <w:p w14:paraId="5C23A13D">
      <w:pPr>
        <w:pStyle w:val="67"/>
        <w:numPr>
          <w:ilvl w:val="0"/>
          <w:numId w:val="29"/>
        </w:numPr>
        <w:jc w:val="both"/>
        <w:rPr>
          <w:rFonts w:cs="Arial"/>
          <w:szCs w:val="24"/>
          <w:lang w:val="es-ES"/>
        </w:rPr>
      </w:pPr>
      <w:r>
        <w:rPr>
          <w:rFonts w:cs="Arial"/>
          <w:szCs w:val="24"/>
          <w:lang w:val="es-ES"/>
        </w:rPr>
        <w:t>Que el certificado de matrícula inmobiliaria no presente anotaciones de riesgo, de acuerdo con lo que se especificó en el respectivo procedimiento.</w:t>
      </w:r>
    </w:p>
    <w:p w14:paraId="5DED839D">
      <w:pPr>
        <w:pStyle w:val="67"/>
        <w:numPr>
          <w:ilvl w:val="0"/>
          <w:numId w:val="29"/>
        </w:numPr>
        <w:jc w:val="both"/>
        <w:rPr>
          <w:rFonts w:cs="Arial"/>
          <w:szCs w:val="24"/>
          <w:lang w:val="es-ES"/>
        </w:rPr>
      </w:pPr>
      <w:r>
        <w:rPr>
          <w:rFonts w:cs="Arial"/>
          <w:szCs w:val="24"/>
          <w:lang w:val="es-ES"/>
        </w:rPr>
        <w:t>Que en caso de que haya sido deudor o codeudor de COOPCALLEJONA, registre buen comportamiento de pago</w:t>
      </w:r>
    </w:p>
    <w:p w14:paraId="7BDF11CC">
      <w:pPr>
        <w:pStyle w:val="67"/>
        <w:numPr>
          <w:ilvl w:val="0"/>
          <w:numId w:val="29"/>
        </w:numPr>
        <w:jc w:val="both"/>
        <w:rPr>
          <w:rFonts w:cs="Arial"/>
          <w:szCs w:val="24"/>
          <w:lang w:val="es-ES"/>
        </w:rPr>
      </w:pPr>
      <w:r>
        <w:rPr>
          <w:rFonts w:cs="Arial"/>
          <w:szCs w:val="24"/>
          <w:lang w:val="es-ES"/>
        </w:rPr>
        <w:t>Que se comprometa a proporcionar toda la información adicional necesaria.</w:t>
      </w:r>
    </w:p>
    <w:p w14:paraId="37BAB14D">
      <w:pPr>
        <w:pStyle w:val="67"/>
        <w:numPr>
          <w:ilvl w:val="0"/>
          <w:numId w:val="29"/>
        </w:numPr>
        <w:jc w:val="both"/>
        <w:rPr>
          <w:rFonts w:cs="Arial"/>
          <w:szCs w:val="24"/>
          <w:lang w:val="es-ES"/>
        </w:rPr>
      </w:pPr>
      <w:r>
        <w:rPr>
          <w:rFonts w:cs="Arial"/>
          <w:szCs w:val="24"/>
          <w:lang w:val="es-ES"/>
        </w:rPr>
        <w:t xml:space="preserve">Que su capacidad de endeudamiento no se encuentre comprometida con créditos que excedan el sesenta por ciento (70%) del valor de los activos. </w:t>
      </w:r>
    </w:p>
    <w:p w14:paraId="1030A9EC">
      <w:pPr>
        <w:pStyle w:val="67"/>
        <w:numPr>
          <w:ilvl w:val="0"/>
          <w:numId w:val="29"/>
        </w:numPr>
        <w:jc w:val="both"/>
        <w:rPr>
          <w:rFonts w:cs="Arial"/>
          <w:szCs w:val="24"/>
          <w:lang w:val="es-ES"/>
        </w:rPr>
      </w:pPr>
      <w:r>
        <w:rPr>
          <w:rFonts w:cs="Arial"/>
          <w:szCs w:val="24"/>
          <w:lang w:val="es-ES"/>
        </w:rPr>
        <w:t>Para efectos del cálculo de la capacidad de pago, se tendrán en cuenta los ingresos del deudor y codeudor, solamente en los casos donde los mismos conformen una sociedad conyugal vigente y uno de ellos firme como codeudor de la obligación, sin perjuicio de la presentación de documentos requeridos por la cooperativa para demostrar capacidad de pago y garantías.</w:t>
      </w:r>
    </w:p>
    <w:p w14:paraId="35F37922">
      <w:pPr>
        <w:pStyle w:val="67"/>
        <w:numPr>
          <w:ilvl w:val="0"/>
          <w:numId w:val="29"/>
        </w:numPr>
        <w:jc w:val="both"/>
        <w:rPr>
          <w:rFonts w:cs="Arial"/>
          <w:szCs w:val="24"/>
          <w:lang w:val="es-ES"/>
        </w:rPr>
      </w:pPr>
      <w:r>
        <w:rPr>
          <w:rFonts w:cs="Arial"/>
          <w:szCs w:val="24"/>
          <w:lang w:val="es-ES"/>
        </w:rPr>
        <w:t xml:space="preserve">En el caso de ser empleado o pensionado, deberá tener una experiencia laboral mínima de 6 meses. </w:t>
      </w:r>
    </w:p>
    <w:p w14:paraId="587AE23F">
      <w:pPr>
        <w:pStyle w:val="67"/>
        <w:numPr>
          <w:ilvl w:val="0"/>
          <w:numId w:val="29"/>
        </w:numPr>
        <w:jc w:val="both"/>
        <w:rPr>
          <w:rFonts w:cs="Arial"/>
          <w:szCs w:val="24"/>
          <w:lang w:val="es-ES"/>
        </w:rPr>
      </w:pPr>
      <w:r>
        <w:rPr>
          <w:rFonts w:cs="Arial"/>
          <w:szCs w:val="24"/>
          <w:lang w:val="es-ES"/>
        </w:rPr>
        <w:t>Para el caso de independientes con vinculaciones laborales por contratos específicos, deberán tener una experiencia mínima de 12 meses ininterrumpidos.</w:t>
      </w:r>
    </w:p>
    <w:p w14:paraId="6F1EE8DF">
      <w:pPr>
        <w:pStyle w:val="67"/>
        <w:numPr>
          <w:ilvl w:val="0"/>
          <w:numId w:val="29"/>
        </w:numPr>
        <w:jc w:val="both"/>
        <w:rPr>
          <w:rFonts w:cs="Arial"/>
          <w:szCs w:val="24"/>
          <w:lang w:val="es-ES"/>
        </w:rPr>
      </w:pPr>
      <w:r>
        <w:rPr>
          <w:rFonts w:cs="Arial"/>
          <w:szCs w:val="24"/>
          <w:lang w:val="es-ES"/>
        </w:rPr>
        <w:t xml:space="preserve">Cuando el deudor no tenga solvencia económica deberá anexar un codeudor cuya solvencia económica deberá ser positiva anexando los respectivos soportes de sus activos. Sin embargo, se podrá anexar a su vez, codeudores con ingresos que cumplan con las siguientes características: </w:t>
      </w:r>
    </w:p>
    <w:p w14:paraId="14B17042">
      <w:pPr>
        <w:ind w:left="360"/>
        <w:jc w:val="both"/>
        <w:rPr>
          <w:rFonts w:cs="Arial"/>
          <w:szCs w:val="24"/>
          <w:lang w:val="es-ES"/>
        </w:rPr>
      </w:pPr>
      <w:r>
        <w:rPr>
          <w:rFonts w:cs="Arial"/>
          <w:szCs w:val="24"/>
          <w:lang w:val="es-ES"/>
        </w:rPr>
        <w:t xml:space="preserve">1) el codeudor empleado o pensionado (No aplica para los pensionados de las fuerzas militares y de policía) presente ingresos y demuestre como mínimo 12 meses de antigüedad laboral (no aplica para pensionados), posea buen comportamiento de pago y cumpla los demás requisitos exigidos para los codeudores en el presente manual. </w:t>
      </w:r>
    </w:p>
    <w:p w14:paraId="1C13320B">
      <w:pPr>
        <w:ind w:left="360"/>
        <w:jc w:val="both"/>
        <w:rPr>
          <w:rFonts w:cs="Arial"/>
          <w:szCs w:val="24"/>
          <w:lang w:val="es-ES"/>
        </w:rPr>
      </w:pPr>
      <w:r>
        <w:rPr>
          <w:rFonts w:cs="Arial"/>
          <w:szCs w:val="24"/>
          <w:lang w:val="es-ES"/>
        </w:rPr>
        <w:t xml:space="preserve">2) en caso de contratos de prestación de servicios: el codeudor deberá presentar copia de contratos de los últimos 12 meses y copia de extractos bancarios de los últimos 3 meses, posea buen comportamiento de pago en COOPCALLEJONA y/o en el sector y cumpla los demás requisitos exigidos para los codeudores en el presente manual. </w:t>
      </w:r>
    </w:p>
    <w:p w14:paraId="2B80EFC5">
      <w:pPr>
        <w:jc w:val="both"/>
        <w:rPr>
          <w:rFonts w:cs="Arial"/>
          <w:szCs w:val="24"/>
          <w:lang w:val="es-ES"/>
        </w:rPr>
      </w:pPr>
      <w:r>
        <w:rPr>
          <w:rFonts w:cs="Arial"/>
          <w:szCs w:val="24"/>
          <w:lang w:val="es-ES"/>
        </w:rPr>
        <w:t>El codeudor con ingresos debe presentar capacidad de pago positiva de acuerdo a lo definido en el presente manual.</w:t>
      </w:r>
    </w:p>
    <w:p w14:paraId="7D623400">
      <w:pPr>
        <w:jc w:val="both"/>
        <w:rPr>
          <w:rFonts w:cs="Arial"/>
          <w:szCs w:val="24"/>
          <w:lang w:val="es-ES"/>
        </w:rPr>
      </w:pPr>
      <w:r>
        <w:rPr>
          <w:rFonts w:cs="Arial"/>
          <w:szCs w:val="24"/>
          <w:lang w:val="es-ES"/>
        </w:rPr>
        <w:t>Las solicitudes de crédito cuya garantía sea la firma personal del deudor, deberá presentar solvencia económica positiva y anexar los soportes de sus activos.</w:t>
      </w:r>
    </w:p>
    <w:p w14:paraId="3B71EADF">
      <w:pPr>
        <w:jc w:val="both"/>
        <w:rPr>
          <w:rFonts w:cs="Arial"/>
          <w:b/>
          <w:bCs/>
          <w:szCs w:val="24"/>
          <w:u w:val="single"/>
          <w:lang w:val="es-ES"/>
        </w:rPr>
      </w:pPr>
      <w:r>
        <w:rPr>
          <w:rFonts w:cs="Arial"/>
          <w:b/>
          <w:bCs/>
          <w:szCs w:val="24"/>
          <w:u w:val="single"/>
          <w:lang w:val="es-ES"/>
        </w:rPr>
        <w:t>Codeudor:</w:t>
      </w:r>
    </w:p>
    <w:p w14:paraId="1C4C450E">
      <w:pPr>
        <w:pStyle w:val="67"/>
        <w:numPr>
          <w:ilvl w:val="0"/>
          <w:numId w:val="29"/>
        </w:numPr>
        <w:jc w:val="both"/>
        <w:rPr>
          <w:rFonts w:cs="Arial"/>
          <w:szCs w:val="24"/>
          <w:lang w:val="es-ES"/>
        </w:rPr>
      </w:pPr>
      <w:r>
        <w:rPr>
          <w:rFonts w:cs="Arial"/>
          <w:szCs w:val="24"/>
          <w:lang w:val="es-ES"/>
        </w:rPr>
        <w:t>Ser colombiano, o extranjeros que cuenten con cedula de extranjería.</w:t>
      </w:r>
    </w:p>
    <w:p w14:paraId="3501EDF9">
      <w:pPr>
        <w:pStyle w:val="67"/>
        <w:numPr>
          <w:ilvl w:val="0"/>
          <w:numId w:val="29"/>
        </w:numPr>
        <w:jc w:val="both"/>
        <w:rPr>
          <w:rFonts w:cs="Arial"/>
          <w:szCs w:val="24"/>
          <w:lang w:val="es-ES"/>
        </w:rPr>
      </w:pPr>
      <w:r>
        <w:rPr>
          <w:rFonts w:cs="Arial"/>
          <w:szCs w:val="24"/>
          <w:lang w:val="es-ES"/>
        </w:rPr>
        <w:t>Ser mayor de edad.</w:t>
      </w:r>
    </w:p>
    <w:p w14:paraId="261332AA">
      <w:pPr>
        <w:pStyle w:val="67"/>
        <w:numPr>
          <w:ilvl w:val="0"/>
          <w:numId w:val="29"/>
        </w:numPr>
        <w:jc w:val="both"/>
        <w:rPr>
          <w:rFonts w:cs="Arial"/>
          <w:szCs w:val="24"/>
          <w:lang w:val="es-ES"/>
        </w:rPr>
      </w:pPr>
      <w:r>
        <w:rPr>
          <w:rFonts w:cs="Arial"/>
          <w:szCs w:val="24"/>
          <w:lang w:val="es-ES"/>
        </w:rPr>
        <w:t>El límite de edad para el codeudor es de 70 años.</w:t>
      </w:r>
    </w:p>
    <w:p w14:paraId="498B68FE">
      <w:pPr>
        <w:pStyle w:val="67"/>
        <w:numPr>
          <w:ilvl w:val="0"/>
          <w:numId w:val="29"/>
        </w:numPr>
        <w:jc w:val="both"/>
        <w:rPr>
          <w:rFonts w:cs="Arial"/>
          <w:szCs w:val="24"/>
          <w:lang w:val="es-ES"/>
        </w:rPr>
      </w:pPr>
      <w:r>
        <w:rPr>
          <w:rFonts w:cs="Arial"/>
          <w:szCs w:val="24"/>
          <w:lang w:val="es-ES"/>
        </w:rPr>
        <w:t>Que en caso de que haya sido deudor o codeudor de COOPCALLEJONA, registre buen comportamiento de pago</w:t>
      </w:r>
    </w:p>
    <w:p w14:paraId="0447ABD3">
      <w:pPr>
        <w:pStyle w:val="67"/>
        <w:numPr>
          <w:ilvl w:val="0"/>
          <w:numId w:val="29"/>
        </w:numPr>
        <w:jc w:val="both"/>
        <w:rPr>
          <w:rFonts w:cs="Arial"/>
          <w:szCs w:val="24"/>
          <w:lang w:val="es-ES"/>
        </w:rPr>
      </w:pPr>
      <w:r>
        <w:rPr>
          <w:rFonts w:cs="Arial"/>
          <w:szCs w:val="24"/>
          <w:lang w:val="es-ES"/>
        </w:rPr>
        <w:t>Que se comprometa a proporcionar toda la información adicional necesaria.</w:t>
      </w:r>
    </w:p>
    <w:p w14:paraId="5A27FB27">
      <w:pPr>
        <w:pStyle w:val="67"/>
        <w:numPr>
          <w:ilvl w:val="0"/>
          <w:numId w:val="29"/>
        </w:numPr>
        <w:jc w:val="both"/>
        <w:rPr>
          <w:rFonts w:cs="Arial"/>
          <w:szCs w:val="24"/>
          <w:lang w:val="es-ES"/>
        </w:rPr>
      </w:pPr>
      <w:r>
        <w:rPr>
          <w:rFonts w:cs="Arial"/>
          <w:szCs w:val="24"/>
          <w:lang w:val="es-ES"/>
        </w:rPr>
        <w:t xml:space="preserve">Que su capacidad de endeudamiento no se encuentre comprometida con créditos que excedan el sesenta por ciento (70%) del valor de los activos, cuando se trate de codeudor con bien raíz. </w:t>
      </w:r>
    </w:p>
    <w:p w14:paraId="587E007C">
      <w:pPr>
        <w:keepNext/>
        <w:numPr>
          <w:ilvl w:val="1"/>
          <w:numId w:val="34"/>
        </w:numPr>
        <w:spacing w:before="240" w:after="60" w:line="240" w:lineRule="auto"/>
        <w:ind w:left="142" w:right="49" w:firstLine="0"/>
        <w:jc w:val="both"/>
        <w:outlineLvl w:val="1"/>
        <w:rPr>
          <w:rFonts w:eastAsia="Times New Roman" w:cs="Arial"/>
          <w:b/>
          <w:bCs/>
          <w:color w:val="000000" w:themeColor="text1"/>
          <w:szCs w:val="24"/>
          <w:lang w:val="es-ES" w:eastAsia="es-ES" w:bidi="en-US"/>
          <w14:textFill>
            <w14:solidFill>
              <w14:schemeClr w14:val="tx1"/>
            </w14:solidFill>
          </w14:textFill>
        </w:rPr>
      </w:pPr>
      <w:bookmarkStart w:id="154" w:name="_Toc151443621"/>
      <w:bookmarkStart w:id="155" w:name="_Toc182642838"/>
      <w:r>
        <w:rPr>
          <w:rFonts w:eastAsia="Times New Roman" w:cs="Arial"/>
          <w:b/>
          <w:bCs/>
          <w:color w:val="000000" w:themeColor="text1"/>
          <w:szCs w:val="24"/>
          <w:lang w:val="es-ES" w:eastAsia="es-ES" w:bidi="en-US"/>
          <w14:textFill>
            <w14:solidFill>
              <w14:schemeClr w14:val="tx1"/>
            </w14:solidFill>
          </w14:textFill>
        </w:rPr>
        <w:t>Análisis Del Crédito Personas Naturales</w:t>
      </w:r>
      <w:bookmarkEnd w:id="154"/>
      <w:bookmarkEnd w:id="155"/>
      <w:r>
        <w:rPr>
          <w:rFonts w:eastAsia="Times New Roman" w:cs="Arial"/>
          <w:b/>
          <w:bCs/>
          <w:color w:val="000000" w:themeColor="text1"/>
          <w:szCs w:val="24"/>
          <w:lang w:val="es-ES" w:eastAsia="es-ES" w:bidi="en-US"/>
          <w14:textFill>
            <w14:solidFill>
              <w14:schemeClr w14:val="tx1"/>
            </w14:solidFill>
          </w14:textFill>
        </w:rPr>
        <w:t xml:space="preserve"> </w:t>
      </w:r>
    </w:p>
    <w:p w14:paraId="3432F339">
      <w:pPr>
        <w:jc w:val="both"/>
        <w:rPr>
          <w:rFonts w:cs="Arial"/>
          <w:szCs w:val="24"/>
          <w:lang w:val="es-ES"/>
        </w:rPr>
      </w:pPr>
      <w:r>
        <w:rPr>
          <w:rFonts w:cs="Arial"/>
          <w:szCs w:val="24"/>
          <w:lang w:val="es-ES"/>
        </w:rPr>
        <w:t>El análisis de los créditos será responsabilidad del Gerente y/o auxiliar administrativo de crédito y cartera.</w:t>
      </w:r>
    </w:p>
    <w:p w14:paraId="03E4FA05">
      <w:pPr>
        <w:jc w:val="both"/>
        <w:rPr>
          <w:rFonts w:cs="Arial"/>
          <w:szCs w:val="24"/>
          <w:lang w:val="es-ES"/>
        </w:rPr>
      </w:pPr>
      <w:r>
        <w:rPr>
          <w:rFonts w:cs="Arial"/>
          <w:szCs w:val="24"/>
          <w:lang w:val="es-ES"/>
        </w:rPr>
        <w:t>Las políticas se aplicarán tanto al Deudor como a codeudores. Durante el análisis del crédito se deben analizar aspectos tales como:</w:t>
      </w:r>
    </w:p>
    <w:p w14:paraId="0258460C">
      <w:pPr>
        <w:pStyle w:val="67"/>
        <w:numPr>
          <w:ilvl w:val="0"/>
          <w:numId w:val="29"/>
        </w:numPr>
        <w:jc w:val="both"/>
        <w:rPr>
          <w:rFonts w:cs="Arial"/>
          <w:szCs w:val="24"/>
          <w:lang w:val="es-ES"/>
        </w:rPr>
      </w:pPr>
      <w:r>
        <w:rPr>
          <w:rFonts w:cs="Arial"/>
          <w:szCs w:val="24"/>
          <w:lang w:val="es-ES"/>
        </w:rPr>
        <w:t>Vinculación y trayectoria del asociado</w:t>
      </w:r>
    </w:p>
    <w:p w14:paraId="0F83DEA1">
      <w:pPr>
        <w:pStyle w:val="67"/>
        <w:numPr>
          <w:ilvl w:val="0"/>
          <w:numId w:val="29"/>
        </w:numPr>
        <w:jc w:val="both"/>
        <w:rPr>
          <w:rFonts w:cs="Arial"/>
          <w:szCs w:val="24"/>
          <w:lang w:val="es-ES"/>
        </w:rPr>
      </w:pPr>
      <w:r>
        <w:rPr>
          <w:rFonts w:cs="Arial"/>
          <w:szCs w:val="24"/>
          <w:lang w:val="es-ES"/>
        </w:rPr>
        <w:t>Comportamiento crediticio</w:t>
      </w:r>
    </w:p>
    <w:p w14:paraId="510076AB">
      <w:pPr>
        <w:pStyle w:val="67"/>
        <w:numPr>
          <w:ilvl w:val="0"/>
          <w:numId w:val="29"/>
        </w:numPr>
        <w:jc w:val="both"/>
        <w:rPr>
          <w:rFonts w:cs="Arial"/>
          <w:szCs w:val="24"/>
          <w:lang w:val="es-ES"/>
        </w:rPr>
      </w:pPr>
      <w:r>
        <w:rPr>
          <w:rFonts w:cs="Arial"/>
          <w:szCs w:val="24"/>
          <w:lang w:val="es-ES"/>
        </w:rPr>
        <w:t>Cálculo de la capacidad de pago</w:t>
      </w:r>
    </w:p>
    <w:p w14:paraId="26096C5E">
      <w:pPr>
        <w:pStyle w:val="67"/>
        <w:numPr>
          <w:ilvl w:val="0"/>
          <w:numId w:val="29"/>
        </w:numPr>
        <w:jc w:val="both"/>
        <w:rPr>
          <w:rFonts w:cs="Arial"/>
          <w:szCs w:val="24"/>
          <w:lang w:val="es-ES"/>
        </w:rPr>
      </w:pPr>
      <w:r>
        <w:rPr>
          <w:rFonts w:cs="Arial"/>
          <w:szCs w:val="24"/>
          <w:lang w:val="es-ES"/>
        </w:rPr>
        <w:t>Vinculo y estabilidad laboral</w:t>
      </w:r>
    </w:p>
    <w:p w14:paraId="528F0912">
      <w:pPr>
        <w:pStyle w:val="67"/>
        <w:numPr>
          <w:ilvl w:val="0"/>
          <w:numId w:val="29"/>
        </w:numPr>
        <w:jc w:val="both"/>
        <w:rPr>
          <w:rFonts w:cs="Arial"/>
          <w:szCs w:val="24"/>
          <w:lang w:val="es-ES"/>
        </w:rPr>
      </w:pPr>
      <w:r>
        <w:rPr>
          <w:rFonts w:cs="Arial"/>
          <w:szCs w:val="24"/>
          <w:lang w:val="es-ES"/>
        </w:rPr>
        <w:t>Verificación de la solvencia económica</w:t>
      </w:r>
    </w:p>
    <w:p w14:paraId="624E1E78">
      <w:pPr>
        <w:pStyle w:val="67"/>
        <w:numPr>
          <w:ilvl w:val="0"/>
          <w:numId w:val="29"/>
        </w:numPr>
        <w:jc w:val="both"/>
        <w:rPr>
          <w:rFonts w:cs="Arial"/>
          <w:szCs w:val="24"/>
          <w:lang w:val="es-ES"/>
        </w:rPr>
      </w:pPr>
      <w:r>
        <w:rPr>
          <w:rFonts w:cs="Arial"/>
          <w:szCs w:val="24"/>
          <w:lang w:val="es-ES"/>
        </w:rPr>
        <w:t>Definición y evaluación del tipo de garantía que se requiere.</w:t>
      </w:r>
    </w:p>
    <w:p w14:paraId="69F3C10D">
      <w:pPr>
        <w:jc w:val="both"/>
        <w:rPr>
          <w:rFonts w:cs="Arial"/>
          <w:szCs w:val="24"/>
          <w:lang w:val="es-ES"/>
        </w:rPr>
      </w:pPr>
      <w:r>
        <w:rPr>
          <w:rFonts w:cs="Arial"/>
          <w:szCs w:val="24"/>
          <w:lang w:val="es-ES"/>
        </w:rPr>
        <w:t>Cuando se hipotequen bienes que no garanticen el valor del crédito, se deberán exigir codeudores adicionalmente.</w:t>
      </w:r>
    </w:p>
    <w:p w14:paraId="61BB3320">
      <w:pPr>
        <w:jc w:val="both"/>
        <w:rPr>
          <w:rFonts w:cs="Arial"/>
          <w:szCs w:val="24"/>
          <w:lang w:val="es-ES"/>
        </w:rPr>
      </w:pPr>
      <w:r>
        <w:rPr>
          <w:rFonts w:cs="Arial"/>
          <w:szCs w:val="24"/>
          <w:lang w:val="es-ES"/>
        </w:rPr>
        <w:t>De igual manera las solicitudes de crédito para construcción donde se presente como garantía el lote deberán de acuerdo al análisis del mismo presentar codeudores y el desembolso del crédito se hará de acuerdo al avance de la obra.</w:t>
      </w:r>
    </w:p>
    <w:p w14:paraId="08F7B02A">
      <w:pPr>
        <w:pStyle w:val="4"/>
      </w:pPr>
      <w:bookmarkStart w:id="156" w:name="_Toc182642839"/>
      <w:r>
        <w:t xml:space="preserve">8.3.1 </w:t>
      </w:r>
      <w:bookmarkStart w:id="157" w:name="_Toc151443622"/>
      <w:r>
        <w:t>Análisis de la documentación</w:t>
      </w:r>
      <w:bookmarkEnd w:id="156"/>
      <w:bookmarkEnd w:id="157"/>
      <w:r>
        <w:t xml:space="preserve"> </w:t>
      </w:r>
    </w:p>
    <w:p w14:paraId="68E9163D">
      <w:pPr>
        <w:rPr>
          <w:lang w:val="es-MX" w:eastAsia="es-CO"/>
        </w:rPr>
      </w:pPr>
    </w:p>
    <w:p w14:paraId="3D1E49C0">
      <w:pPr>
        <w:jc w:val="both"/>
        <w:rPr>
          <w:rFonts w:cs="Arial"/>
          <w:szCs w:val="24"/>
          <w:lang w:val="es-ES"/>
        </w:rPr>
      </w:pPr>
      <w:r>
        <w:rPr>
          <w:rFonts w:cs="Arial"/>
          <w:szCs w:val="24"/>
          <w:lang w:val="es-ES"/>
        </w:rPr>
        <w:t>Durante el análisis del crédito deberá verificarse la información contenida en cada uno de los documentos solicitados y se deberá constatar la autenticidad y vigencia de la información presentada ya que de un correcto análisis depende en gran parte el éxito de la colocación.</w:t>
      </w:r>
    </w:p>
    <w:p w14:paraId="50205E8D">
      <w:pPr>
        <w:jc w:val="both"/>
        <w:rPr>
          <w:rFonts w:cs="Arial"/>
          <w:szCs w:val="24"/>
          <w:lang w:val="es-ES"/>
        </w:rPr>
      </w:pPr>
      <w:r>
        <w:rPr>
          <w:rFonts w:cs="Arial"/>
          <w:szCs w:val="24"/>
          <w:lang w:val="es-ES"/>
        </w:rPr>
        <w:t>La revisión y análisis de la documentación es la etapa inicial del análisis del crédito, en el desarrollo de esta etapa se debe tener en cuenta los siguiente:</w:t>
      </w:r>
    </w:p>
    <w:p w14:paraId="04D816F3">
      <w:pPr>
        <w:jc w:val="both"/>
        <w:rPr>
          <w:rFonts w:cs="Arial"/>
          <w:szCs w:val="24"/>
          <w:lang w:val="es-ES"/>
        </w:rPr>
      </w:pPr>
      <w:r>
        <w:rPr>
          <w:rFonts w:cs="Arial"/>
          <w:szCs w:val="24"/>
          <w:lang w:val="es-ES"/>
        </w:rPr>
        <w:t>El empleado encargado de analizar la información presentada por los solicitantes frente a los documentos presentados por el asociado.</w:t>
      </w:r>
    </w:p>
    <w:p w14:paraId="150DF993">
      <w:pPr>
        <w:jc w:val="both"/>
        <w:rPr>
          <w:rFonts w:cs="Arial"/>
          <w:szCs w:val="24"/>
          <w:lang w:val="es-ES"/>
        </w:rPr>
      </w:pPr>
      <w:r>
        <w:rPr>
          <w:rFonts w:cs="Arial"/>
          <w:szCs w:val="24"/>
          <w:lang w:val="es-ES"/>
        </w:rPr>
        <w:t>Considerando que se trata de una OBLIGACIÓN legal que nos afecta, SIEMPRE que un deudor o codeudor, adjunte a la solicitud de crédito la Declaración de Renta, deberá exigírsele que presente los soportes de la Misma.</w:t>
      </w:r>
    </w:p>
    <w:p w14:paraId="0DE31251">
      <w:pPr>
        <w:pStyle w:val="4"/>
      </w:pPr>
      <w:bookmarkStart w:id="158" w:name="_Toc151443623"/>
      <w:bookmarkStart w:id="159" w:name="_Toc182642840"/>
      <w:r>
        <w:t>8.3.2 Capacidad de Pago</w:t>
      </w:r>
      <w:bookmarkEnd w:id="158"/>
      <w:bookmarkEnd w:id="159"/>
      <w:r>
        <w:t xml:space="preserve"> </w:t>
      </w:r>
    </w:p>
    <w:p w14:paraId="143F4DE5">
      <w:pPr>
        <w:jc w:val="both"/>
        <w:rPr>
          <w:rFonts w:cs="Arial"/>
          <w:szCs w:val="24"/>
          <w:lang w:val="es-ES"/>
        </w:rPr>
      </w:pPr>
    </w:p>
    <w:p w14:paraId="7B7FCDC0">
      <w:pPr>
        <w:jc w:val="both"/>
        <w:rPr>
          <w:rFonts w:cs="Arial"/>
          <w:szCs w:val="24"/>
          <w:lang w:val="es-ES"/>
        </w:rPr>
      </w:pPr>
      <w:r>
        <w:rPr>
          <w:rFonts w:cs="Arial"/>
          <w:szCs w:val="24"/>
          <w:lang w:val="es-ES"/>
        </w:rPr>
        <w:t>Una de las principales actividades de COOPCALLEJONA es la colocación de créditos, por lo cual es importante establecer si una persona con sus ingresos puede o no, asumir una obligación crediticia.</w:t>
      </w:r>
    </w:p>
    <w:p w14:paraId="7105343C">
      <w:pPr>
        <w:jc w:val="both"/>
        <w:rPr>
          <w:rFonts w:cs="Arial"/>
          <w:szCs w:val="24"/>
          <w:lang w:val="es-ES"/>
        </w:rPr>
      </w:pPr>
      <w:r>
        <w:rPr>
          <w:rFonts w:cs="Arial"/>
          <w:szCs w:val="24"/>
          <w:lang w:val="es-ES"/>
        </w:rPr>
        <w:t>Más importante que las garantías, es tener la seguridad de la recuperación del dinero prestado y ésta se obtiene mediante un exhaustivo análisis encaminado a conocer con la relativa exactitud los ingresos del solicitante y su respectiva capacidad de pago.</w:t>
      </w:r>
    </w:p>
    <w:p w14:paraId="1FF42951">
      <w:pPr>
        <w:jc w:val="both"/>
        <w:rPr>
          <w:rFonts w:cs="Arial"/>
          <w:szCs w:val="24"/>
          <w:lang w:val="es-ES"/>
        </w:rPr>
      </w:pPr>
      <w:r>
        <w:rPr>
          <w:rFonts w:cs="Arial"/>
          <w:szCs w:val="24"/>
          <w:lang w:val="es-ES"/>
        </w:rPr>
        <w:t>Probablemente el solicitante del crédito pueda no tener capacidad de pago para el monto que plantea, pero sí para una menor cuantía.  Esto no quiere decir que necesariamente se deba disminuir el monto para prestarle el servicio; en este caso debe tenerse en cuenta que la cantidad para la que tiene capacidad de pago no alcanza a satisfacer sus propósitos, es mejor no prestarle y evitar que utilice esos recursos en un objetivo diferente o que adquiera otras deudas adicionales que eleven su endeudamiento e incida para que no pueda cumplir con las obligaciones que contraiga.</w:t>
      </w:r>
    </w:p>
    <w:p w14:paraId="74E1DBE5">
      <w:pPr>
        <w:jc w:val="both"/>
        <w:rPr>
          <w:rFonts w:cs="Arial"/>
          <w:b/>
          <w:bCs/>
          <w:szCs w:val="24"/>
          <w:lang w:val="es-ES"/>
        </w:rPr>
      </w:pPr>
      <w:r>
        <w:rPr>
          <w:rFonts w:cs="Arial"/>
          <w:b/>
          <w:bCs/>
          <w:szCs w:val="24"/>
          <w:lang w:val="es-ES"/>
        </w:rPr>
        <w:t>Cálculo de los ingresos base para la estimación de la capacidad de pago</w:t>
      </w:r>
    </w:p>
    <w:p w14:paraId="17BDC75F">
      <w:pPr>
        <w:jc w:val="both"/>
        <w:rPr>
          <w:rFonts w:cs="Arial"/>
          <w:szCs w:val="24"/>
          <w:lang w:val="es-ES"/>
        </w:rPr>
      </w:pPr>
      <w:r>
        <w:rPr>
          <w:rFonts w:cs="Arial"/>
          <w:szCs w:val="24"/>
          <w:lang w:val="es-ES"/>
        </w:rPr>
        <w:t>Los ingresos totales de las personas con actividad económica independiente corresponden a lo establecido en el presente numeral y, en los dependientes, los ingresos totales corresponden al salario mensual, pensión o similares, siempre y cuando sean sumas que se reciban periódicamente con variaciones poco significativas.</w:t>
      </w:r>
    </w:p>
    <w:p w14:paraId="66963FA2">
      <w:pPr>
        <w:jc w:val="both"/>
        <w:rPr>
          <w:rFonts w:cs="Arial"/>
          <w:szCs w:val="24"/>
          <w:lang w:val="es-ES"/>
        </w:rPr>
      </w:pPr>
      <w:r>
        <w:rPr>
          <w:rFonts w:cs="Arial"/>
          <w:szCs w:val="24"/>
          <w:lang w:val="es-ES"/>
        </w:rPr>
        <w:t>Para efectos del cálculo de la capacidad de pago, se tendrán en cuenta los ingresos del deudor y codeudor, solamente en los casos donde los mismos conformen una sociedad conyugal vigente y uno de ellos firme como codeudor de la obligación, sin perjuicio de la presentación de documentos requeridos por la cooperativa para demostrar capacidad de pago y garantías.</w:t>
      </w:r>
    </w:p>
    <w:p w14:paraId="2D140591">
      <w:pPr>
        <w:jc w:val="both"/>
        <w:rPr>
          <w:rFonts w:cs="Arial"/>
          <w:szCs w:val="24"/>
          <w:lang w:val="es-ES"/>
        </w:rPr>
      </w:pPr>
      <w:r>
        <w:rPr>
          <w:rFonts w:cs="Arial"/>
          <w:szCs w:val="24"/>
          <w:lang w:val="es-ES"/>
        </w:rPr>
        <w:t>Si el asociado ya ha tenido vinculación con CCOPCALLEJONA puede hacer uso del sistema para conocer las actividades económicas declaradas por el asociado y comparar los ingresos declarados con anterioridad, contra los que declarará al momento de tramitar la nueva solicitud. Si es necesario, actualice la información en el sistema, pero si el nivel de ingresos presenta una variación muy significativa en comparación a la información declarada anteriormente, deberá indagar con cuidado al entrevistado el motivo por el cual sus ingresos presentaron dicha variación, puede ser que estén tratando de engañarle con el ánimo de obtener un crédito que a futuro pueda deteriorar la calidad de cartera de la oficina.</w:t>
      </w:r>
    </w:p>
    <w:p w14:paraId="74264BBD">
      <w:pPr>
        <w:jc w:val="both"/>
        <w:rPr>
          <w:rFonts w:cs="Arial"/>
          <w:b/>
          <w:bCs/>
          <w:szCs w:val="24"/>
          <w:lang w:val="es-ES"/>
        </w:rPr>
      </w:pPr>
      <w:r>
        <w:rPr>
          <w:rFonts w:cs="Arial"/>
          <w:b/>
          <w:bCs/>
          <w:szCs w:val="24"/>
          <w:lang w:val="es-ES"/>
        </w:rPr>
        <w:t>Los ingresos:</w:t>
      </w:r>
    </w:p>
    <w:p w14:paraId="03CA6B48">
      <w:pPr>
        <w:jc w:val="both"/>
        <w:rPr>
          <w:rFonts w:cs="Arial"/>
          <w:szCs w:val="24"/>
          <w:lang w:val="es-ES"/>
        </w:rPr>
      </w:pPr>
      <w:r>
        <w:rPr>
          <w:rFonts w:cs="Arial"/>
          <w:szCs w:val="24"/>
          <w:lang w:val="es-ES"/>
        </w:rPr>
        <w:t>Principalmente el asesor de crédito deberá tener como objetivo identificar la actividad económica principal del solicitante de crédito y sus codeudores.  Esta actividad corresponde a la que mayores ingresos le generen, más no a la que mayor tiempo le consuma. Posteriormente el asesor de crédito deberá identificar las actividades económicas secundarias del solicitante.  Se aclara que la actividad económica principal no es sinónimo de la ocupación principal.  Ejemplo: el pensionado (ocupación principal) que devenga $800.000, pero a la vez presta dinero (actividad económica principal) y por ese concepto obtiene ingresos por $2.200.000, es decir, pese a que el 100% será pensionado, el mayor nivel de sus ingresos se da por la renta que da su dinero prestado.</w:t>
      </w:r>
    </w:p>
    <w:p w14:paraId="0782513F">
      <w:pPr>
        <w:jc w:val="both"/>
        <w:rPr>
          <w:rFonts w:cs="Arial"/>
          <w:szCs w:val="24"/>
          <w:lang w:val="es-ES"/>
        </w:rPr>
      </w:pPr>
      <w:r>
        <w:rPr>
          <w:rFonts w:cs="Arial"/>
          <w:szCs w:val="24"/>
          <w:lang w:val="es-ES"/>
        </w:rPr>
        <w:t>Tenga en cuenta que los ingresos pueden ser:</w:t>
      </w:r>
    </w:p>
    <w:p w14:paraId="2D73982F">
      <w:pPr>
        <w:jc w:val="both"/>
        <w:rPr>
          <w:rFonts w:cs="Arial"/>
          <w:szCs w:val="24"/>
          <w:lang w:val="es-ES"/>
        </w:rPr>
      </w:pPr>
      <w:r>
        <w:rPr>
          <w:rFonts w:cs="Arial"/>
          <w:szCs w:val="24"/>
          <w:lang w:val="es-ES"/>
        </w:rPr>
        <w:t>•</w:t>
      </w:r>
      <w:r>
        <w:rPr>
          <w:rFonts w:cs="Arial"/>
          <w:szCs w:val="24"/>
          <w:lang w:val="es-ES"/>
        </w:rPr>
        <w:tab/>
      </w:r>
      <w:r>
        <w:rPr>
          <w:rFonts w:cs="Arial"/>
          <w:szCs w:val="24"/>
          <w:lang w:val="es-ES"/>
        </w:rPr>
        <w:t>Provenientes de la actividad económica principal:</w:t>
      </w:r>
    </w:p>
    <w:p w14:paraId="46A202B0">
      <w:pPr>
        <w:jc w:val="both"/>
        <w:rPr>
          <w:rFonts w:cs="Arial"/>
          <w:szCs w:val="24"/>
          <w:lang w:val="es-ES"/>
        </w:rPr>
      </w:pPr>
      <w:r>
        <w:rPr>
          <w:rFonts w:cs="Arial"/>
          <w:szCs w:val="24"/>
          <w:lang w:val="es-ES"/>
        </w:rPr>
        <w:t>•</w:t>
      </w:r>
      <w:r>
        <w:rPr>
          <w:rFonts w:cs="Arial"/>
          <w:szCs w:val="24"/>
          <w:lang w:val="es-ES"/>
        </w:rPr>
        <w:tab/>
      </w:r>
      <w:r>
        <w:rPr>
          <w:rFonts w:cs="Arial"/>
          <w:szCs w:val="24"/>
          <w:lang w:val="es-ES"/>
        </w:rPr>
        <w:t>Provenientes de otras actividades secundarias (demostrables)</w:t>
      </w:r>
    </w:p>
    <w:p w14:paraId="504DFBF1">
      <w:pPr>
        <w:jc w:val="both"/>
        <w:rPr>
          <w:rFonts w:cs="Arial"/>
          <w:szCs w:val="24"/>
          <w:lang w:val="es-ES"/>
        </w:rPr>
      </w:pPr>
      <w:r>
        <w:rPr>
          <w:rFonts w:cs="Arial"/>
          <w:szCs w:val="24"/>
          <w:lang w:val="es-ES"/>
        </w:rPr>
        <w:t>•</w:t>
      </w:r>
      <w:r>
        <w:rPr>
          <w:rFonts w:cs="Arial"/>
          <w:szCs w:val="24"/>
          <w:lang w:val="es-ES"/>
        </w:rPr>
        <w:tab/>
      </w:r>
      <w:r>
        <w:rPr>
          <w:rFonts w:cs="Arial"/>
          <w:szCs w:val="24"/>
          <w:lang w:val="es-ES"/>
        </w:rPr>
        <w:t>Provenientes de otras fuentes estables o permanentes en el tiempo (demostrables)</w:t>
      </w:r>
    </w:p>
    <w:p w14:paraId="5AC73CDE">
      <w:pPr>
        <w:jc w:val="both"/>
        <w:rPr>
          <w:rFonts w:cs="Arial"/>
          <w:szCs w:val="24"/>
          <w:lang w:val="es-ES"/>
        </w:rPr>
      </w:pPr>
      <w:r>
        <w:rPr>
          <w:rFonts w:cs="Arial"/>
          <w:szCs w:val="24"/>
          <w:lang w:val="es-ES"/>
        </w:rPr>
        <w:t>Los ingresos totales se llevarán al mismo periodo de pago de capital e intereses.</w:t>
      </w:r>
    </w:p>
    <w:p w14:paraId="2876F534">
      <w:pPr>
        <w:jc w:val="both"/>
        <w:rPr>
          <w:rFonts w:cs="Arial"/>
          <w:b/>
          <w:bCs/>
          <w:szCs w:val="24"/>
          <w:lang w:val="es-ES"/>
        </w:rPr>
      </w:pPr>
      <w:r>
        <w:rPr>
          <w:rFonts w:cs="Arial"/>
          <w:b/>
          <w:bCs/>
          <w:szCs w:val="24"/>
          <w:lang w:val="es-ES"/>
        </w:rPr>
        <w:t>Los gastos:</w:t>
      </w:r>
    </w:p>
    <w:p w14:paraId="76A99C96">
      <w:pPr>
        <w:jc w:val="both"/>
        <w:rPr>
          <w:rFonts w:cs="Arial"/>
          <w:szCs w:val="24"/>
          <w:lang w:val="es-ES"/>
        </w:rPr>
      </w:pPr>
      <w:r>
        <w:rPr>
          <w:rFonts w:cs="Arial"/>
          <w:szCs w:val="24"/>
          <w:lang w:val="es-ES"/>
        </w:rPr>
        <w:t>El asesor de crédito deberá estar en capacidad de identificar la situación familiar del solicitante y estimar sus costos y gastos periódicos</w:t>
      </w:r>
    </w:p>
    <w:p w14:paraId="63E91862">
      <w:pPr>
        <w:jc w:val="both"/>
        <w:rPr>
          <w:rFonts w:cs="Arial"/>
          <w:szCs w:val="24"/>
          <w:lang w:val="es-ES"/>
        </w:rPr>
      </w:pPr>
      <w:r>
        <w:rPr>
          <w:rFonts w:cs="Arial"/>
          <w:szCs w:val="24"/>
          <w:lang w:val="es-ES"/>
        </w:rPr>
        <w:t>Los aspectos que debe tener en cuenta el asesor para definir los gastos, pueden ser:</w:t>
      </w:r>
    </w:p>
    <w:p w14:paraId="0059450B">
      <w:pPr>
        <w:jc w:val="both"/>
        <w:rPr>
          <w:rFonts w:cs="Arial"/>
          <w:szCs w:val="24"/>
          <w:lang w:val="es-ES"/>
        </w:rPr>
      </w:pPr>
      <w:r>
        <w:rPr>
          <w:rFonts w:cs="Arial"/>
          <w:szCs w:val="24"/>
          <w:lang w:val="es-ES"/>
        </w:rPr>
        <w:t>-</w:t>
      </w:r>
      <w:r>
        <w:rPr>
          <w:rFonts w:cs="Arial"/>
          <w:szCs w:val="24"/>
          <w:lang w:val="es-ES"/>
        </w:rPr>
        <w:tab/>
      </w:r>
      <w:r>
        <w:rPr>
          <w:rFonts w:cs="Arial"/>
          <w:szCs w:val="24"/>
          <w:lang w:val="es-ES"/>
        </w:rPr>
        <w:t>El estado civil (puede haber gastos compartidos en parejas)</w:t>
      </w:r>
    </w:p>
    <w:p w14:paraId="7BBA5783">
      <w:pPr>
        <w:jc w:val="both"/>
        <w:rPr>
          <w:rFonts w:cs="Arial"/>
          <w:szCs w:val="24"/>
          <w:lang w:val="es-ES"/>
        </w:rPr>
      </w:pPr>
      <w:r>
        <w:rPr>
          <w:rFonts w:cs="Arial"/>
          <w:szCs w:val="24"/>
          <w:lang w:val="es-ES"/>
        </w:rPr>
        <w:t>-</w:t>
      </w:r>
      <w:r>
        <w:rPr>
          <w:rFonts w:cs="Arial"/>
          <w:szCs w:val="24"/>
          <w:lang w:val="es-ES"/>
        </w:rPr>
        <w:tab/>
      </w:r>
      <w:r>
        <w:rPr>
          <w:rFonts w:cs="Arial"/>
          <w:szCs w:val="24"/>
          <w:lang w:val="es-ES"/>
        </w:rPr>
        <w:t>La actividad económica del cónyuge (si este labora puede aportar en la unidad familiar, si no lo hace constituye un gasto adicional)</w:t>
      </w:r>
    </w:p>
    <w:p w14:paraId="36BC365A">
      <w:pPr>
        <w:jc w:val="both"/>
        <w:rPr>
          <w:rFonts w:cs="Arial"/>
          <w:szCs w:val="24"/>
          <w:lang w:val="es-ES"/>
        </w:rPr>
      </w:pPr>
      <w:r>
        <w:rPr>
          <w:rFonts w:cs="Arial"/>
          <w:szCs w:val="24"/>
          <w:lang w:val="es-ES"/>
        </w:rPr>
        <w:t>-</w:t>
      </w:r>
      <w:r>
        <w:rPr>
          <w:rFonts w:cs="Arial"/>
          <w:szCs w:val="24"/>
          <w:lang w:val="es-ES"/>
        </w:rPr>
        <w:tab/>
      </w:r>
      <w:r>
        <w:rPr>
          <w:rFonts w:cs="Arial"/>
          <w:szCs w:val="24"/>
          <w:lang w:val="es-ES"/>
        </w:rPr>
        <w:t>Lugar en que desempeña sus actividades económicas (si es muy lejano, implica gastos adicionales de transporte, manutención o alojamiento, si reside temporalmente en un lugar diferente a su domicilio).</w:t>
      </w:r>
    </w:p>
    <w:p w14:paraId="6D7DE300">
      <w:pPr>
        <w:jc w:val="both"/>
        <w:rPr>
          <w:rFonts w:cs="Arial"/>
          <w:szCs w:val="24"/>
          <w:lang w:val="es-ES"/>
        </w:rPr>
      </w:pPr>
      <w:r>
        <w:rPr>
          <w:rFonts w:cs="Arial"/>
          <w:szCs w:val="24"/>
          <w:lang w:val="es-ES"/>
        </w:rPr>
        <w:t>-</w:t>
      </w:r>
      <w:r>
        <w:rPr>
          <w:rFonts w:cs="Arial"/>
          <w:szCs w:val="24"/>
          <w:lang w:val="es-ES"/>
        </w:rPr>
        <w:tab/>
      </w:r>
      <w:r>
        <w:rPr>
          <w:rFonts w:cs="Arial"/>
          <w:szCs w:val="24"/>
          <w:lang w:val="es-ES"/>
        </w:rPr>
        <w:t>Nivel académico o estudios actuales (pueden implicar gastos por matrículas)</w:t>
      </w:r>
    </w:p>
    <w:p w14:paraId="117A5BB5">
      <w:pPr>
        <w:jc w:val="both"/>
        <w:rPr>
          <w:rFonts w:cs="Arial"/>
          <w:szCs w:val="24"/>
          <w:lang w:val="es-ES"/>
        </w:rPr>
      </w:pPr>
      <w:r>
        <w:rPr>
          <w:rFonts w:cs="Arial"/>
          <w:szCs w:val="24"/>
          <w:lang w:val="es-ES"/>
        </w:rPr>
        <w:t>-</w:t>
      </w:r>
      <w:r>
        <w:rPr>
          <w:rFonts w:cs="Arial"/>
          <w:szCs w:val="24"/>
          <w:lang w:val="es-ES"/>
        </w:rPr>
        <w:tab/>
      </w:r>
      <w:r>
        <w:rPr>
          <w:rFonts w:cs="Arial"/>
          <w:szCs w:val="24"/>
          <w:lang w:val="es-ES"/>
        </w:rPr>
        <w:t>Hijos o personas a cargo (implican gastos adicionales por manutención o estudio)</w:t>
      </w:r>
    </w:p>
    <w:p w14:paraId="1E1CE707">
      <w:pPr>
        <w:jc w:val="both"/>
        <w:rPr>
          <w:rFonts w:cs="Arial"/>
          <w:szCs w:val="24"/>
          <w:lang w:val="es-ES"/>
        </w:rPr>
      </w:pPr>
      <w:r>
        <w:rPr>
          <w:rFonts w:cs="Arial"/>
          <w:szCs w:val="24"/>
          <w:lang w:val="es-ES"/>
        </w:rPr>
        <w:t>-</w:t>
      </w:r>
      <w:r>
        <w:rPr>
          <w:rFonts w:cs="Arial"/>
          <w:szCs w:val="24"/>
          <w:lang w:val="es-ES"/>
        </w:rPr>
        <w:tab/>
      </w:r>
      <w:r>
        <w:rPr>
          <w:rFonts w:cs="Arial"/>
          <w:szCs w:val="24"/>
          <w:lang w:val="es-ES"/>
        </w:rPr>
        <w:t>Para el caso de independientes el tipo de local comercial (si es arrendado implica gastos)</w:t>
      </w:r>
    </w:p>
    <w:p w14:paraId="55D7BAD4">
      <w:pPr>
        <w:jc w:val="both"/>
        <w:rPr>
          <w:rFonts w:cs="Arial"/>
          <w:szCs w:val="24"/>
          <w:lang w:val="es-ES"/>
        </w:rPr>
      </w:pPr>
      <w:r>
        <w:rPr>
          <w:rFonts w:cs="Arial"/>
          <w:szCs w:val="24"/>
          <w:lang w:val="es-ES"/>
        </w:rPr>
        <w:t>-</w:t>
      </w:r>
      <w:r>
        <w:rPr>
          <w:rFonts w:cs="Arial"/>
          <w:szCs w:val="24"/>
          <w:lang w:val="es-ES"/>
        </w:rPr>
        <w:tab/>
      </w:r>
      <w:r>
        <w:rPr>
          <w:rFonts w:cs="Arial"/>
          <w:szCs w:val="24"/>
          <w:lang w:val="es-ES"/>
        </w:rPr>
        <w:t>El tipo de vivienda (si es arrendada)</w:t>
      </w:r>
    </w:p>
    <w:p w14:paraId="50273533">
      <w:pPr>
        <w:jc w:val="both"/>
        <w:rPr>
          <w:rFonts w:cs="Arial"/>
          <w:szCs w:val="24"/>
          <w:lang w:val="es-ES"/>
        </w:rPr>
      </w:pPr>
      <w:r>
        <w:rPr>
          <w:rFonts w:cs="Arial"/>
          <w:szCs w:val="24"/>
          <w:lang w:val="es-ES"/>
        </w:rPr>
        <w:t>-</w:t>
      </w:r>
      <w:r>
        <w:rPr>
          <w:rFonts w:cs="Arial"/>
          <w:szCs w:val="24"/>
          <w:lang w:val="es-ES"/>
        </w:rPr>
        <w:tab/>
      </w:r>
      <w:r>
        <w:rPr>
          <w:rFonts w:cs="Arial"/>
          <w:szCs w:val="24"/>
          <w:lang w:val="es-ES"/>
        </w:rPr>
        <w:t>El estrato socioeconómico (estratos altos implican servicios públicos más costosos o pagos de impuestos mayores)</w:t>
      </w:r>
    </w:p>
    <w:p w14:paraId="4CE773A3">
      <w:pPr>
        <w:jc w:val="both"/>
        <w:rPr>
          <w:rFonts w:cs="Arial"/>
          <w:szCs w:val="24"/>
          <w:lang w:val="es-ES"/>
        </w:rPr>
      </w:pPr>
      <w:r>
        <w:rPr>
          <w:rFonts w:cs="Arial"/>
          <w:szCs w:val="24"/>
          <w:lang w:val="es-ES"/>
        </w:rPr>
        <w:t>-</w:t>
      </w:r>
      <w:r>
        <w:rPr>
          <w:rFonts w:cs="Arial"/>
          <w:szCs w:val="24"/>
          <w:lang w:val="es-ES"/>
        </w:rPr>
        <w:tab/>
      </w:r>
      <w:r>
        <w:rPr>
          <w:rFonts w:cs="Arial"/>
          <w:szCs w:val="24"/>
          <w:lang w:val="es-ES"/>
        </w:rPr>
        <w:t>Finalmente, como uno de los aspectos más importantes se encuentra en conocer el endeudamiento directo de la persona (conocer el valor y la periodicidad de las cuotas que cancela ya sean financieras, del sector real, de servicios suntuosos como telefonía celular, televisión por cable, Internet banda ancha, gimnasios, etc.)</w:t>
      </w:r>
    </w:p>
    <w:p w14:paraId="0D76064C">
      <w:pPr>
        <w:jc w:val="both"/>
        <w:rPr>
          <w:rFonts w:cs="Arial"/>
          <w:szCs w:val="24"/>
          <w:lang w:val="es-ES"/>
        </w:rPr>
      </w:pPr>
      <w:r>
        <w:rPr>
          <w:rFonts w:cs="Arial"/>
          <w:szCs w:val="24"/>
          <w:lang w:val="es-ES"/>
        </w:rPr>
        <w:t>Al asociado se le debe aclarar que posteriormente toda la información suministrada en la entrevista será confrontada con la documentación que anexe.</w:t>
      </w:r>
    </w:p>
    <w:p w14:paraId="0908726D">
      <w:pPr>
        <w:jc w:val="both"/>
        <w:rPr>
          <w:rFonts w:cs="Arial"/>
          <w:szCs w:val="24"/>
          <w:lang w:val="es-ES"/>
        </w:rPr>
      </w:pPr>
      <w:r>
        <w:rPr>
          <w:rFonts w:cs="Arial"/>
          <w:szCs w:val="24"/>
          <w:lang w:val="es-ES"/>
        </w:rPr>
        <w:t>El valor de los ingresos totales(mes)- Gastos totales(mes) debe ser mayor a la cuota del crédito.</w:t>
      </w:r>
    </w:p>
    <w:p w14:paraId="241A6FB4">
      <w:pPr>
        <w:jc w:val="both"/>
        <w:rPr>
          <w:rFonts w:cs="Arial"/>
          <w:szCs w:val="24"/>
          <w:lang w:val="es-ES"/>
        </w:rPr>
      </w:pPr>
      <w:r>
        <w:rPr>
          <w:rFonts w:cs="Arial"/>
          <w:szCs w:val="24"/>
          <w:lang w:val="es-ES"/>
        </w:rPr>
        <w:t xml:space="preserve">En el caso de créditos a empleados y pensionados que tramiten créditos mediante libranza se deberá verificar la capacidad de descuento de acuerdo a las disposiciones legales vigentes.: </w:t>
      </w:r>
      <w:r>
        <w:rPr>
          <w:rFonts w:cs="Arial"/>
          <w:i/>
          <w:iCs/>
          <w:szCs w:val="24"/>
          <w:u w:val="single"/>
          <w:lang w:val="es-ES"/>
        </w:rPr>
        <w:t>“… Que la libranza o descuento directo se efectúe, siempre y cuando el asalariado o pensionado no reciba menos del cincuenta por ciento (50%) del neto de su salario o pensión, después de los descuentos de ley. Las deducciones o retenciones que realice el empleador o entidad pagadora, que tengan por objeto operaciones de libranza o descuento directo, quedarán exceptuadas de la restricción contemplada en el numeral segundo del artículo 149 del Código Sustantivo del Trabajo.”</w:t>
      </w:r>
    </w:p>
    <w:p w14:paraId="6BEB4E0D">
      <w:pPr>
        <w:jc w:val="both"/>
        <w:rPr>
          <w:rFonts w:cs="Arial"/>
          <w:szCs w:val="24"/>
          <w:lang w:val="es-ES"/>
        </w:rPr>
      </w:pPr>
      <w:r>
        <w:rPr>
          <w:rFonts w:cs="Arial"/>
          <w:szCs w:val="24"/>
          <w:lang w:val="es-ES"/>
        </w:rPr>
        <w:t>En el caso de Personas Jurídicas se calcularán indicadores de liquidez, rentabilidad y endeudamiento, cartera pendiente de recaudo, margen operacional y margen total evaluando los mismos en el ente o instancia responsable de la aprobación.</w:t>
      </w:r>
    </w:p>
    <w:p w14:paraId="3925B632">
      <w:pPr>
        <w:jc w:val="both"/>
        <w:rPr>
          <w:rFonts w:cs="Arial"/>
          <w:szCs w:val="24"/>
          <w:lang w:val="es-ES"/>
        </w:rPr>
      </w:pPr>
      <w:r>
        <w:rPr>
          <w:rFonts w:cs="Arial"/>
          <w:szCs w:val="24"/>
          <w:lang w:val="es-ES"/>
        </w:rPr>
        <w:t>Al asociado se le debe aclarar que posteriormente toda la información suministrada en la entrevista será confrontada con la documentación que anexe.</w:t>
      </w:r>
    </w:p>
    <w:p w14:paraId="76CB5FD2">
      <w:pPr>
        <w:jc w:val="both"/>
        <w:rPr>
          <w:rFonts w:cs="Arial"/>
          <w:szCs w:val="24"/>
          <w:lang w:val="es-ES"/>
        </w:rPr>
      </w:pPr>
      <w:r>
        <w:rPr>
          <w:rFonts w:cs="Arial"/>
          <w:szCs w:val="24"/>
          <w:lang w:val="es-ES"/>
        </w:rPr>
        <w:t xml:space="preserve">Para efectos del cálculo de la capacidad de pago se define como margen de confianza el “porcentaje” del disponible neto que podrá ser utilizado para cubrir el pago de la cuota del nuevo crédito, y de esta manera definir si el deudor tiene o no capacidad de pago. </w:t>
      </w:r>
    </w:p>
    <w:p w14:paraId="7327FC50">
      <w:pPr>
        <w:jc w:val="both"/>
        <w:rPr>
          <w:rFonts w:cs="Arial"/>
          <w:szCs w:val="24"/>
          <w:lang w:val="es-ES"/>
        </w:rPr>
      </w:pPr>
      <w:r>
        <w:rPr>
          <w:rFonts w:cs="Arial"/>
          <w:szCs w:val="24"/>
          <w:lang w:val="es-ES"/>
        </w:rPr>
        <w:t>Los márgenes de confianza para el cálculo de capacidad de pago de los deudores son:</w:t>
      </w:r>
    </w:p>
    <w:p w14:paraId="6007812C">
      <w:pPr>
        <w:jc w:val="both"/>
        <w:rPr>
          <w:rFonts w:cs="Arial"/>
          <w:szCs w:val="24"/>
          <w:lang w:val="es-ES"/>
        </w:rPr>
      </w:pPr>
      <w:r>
        <w:rPr>
          <w:rFonts w:cs="Arial"/>
          <w:szCs w:val="24"/>
          <w:lang w:val="es-ES"/>
        </w:rPr>
        <w:t>•</w:t>
      </w:r>
      <w:r>
        <w:rPr>
          <w:rFonts w:cs="Arial"/>
          <w:szCs w:val="24"/>
          <w:lang w:val="es-ES"/>
        </w:rPr>
        <w:tab/>
      </w:r>
      <w:r>
        <w:rPr>
          <w:rFonts w:cs="Arial"/>
          <w:szCs w:val="24"/>
          <w:lang w:val="es-ES"/>
        </w:rPr>
        <w:t>80% para personas empleados</w:t>
      </w:r>
    </w:p>
    <w:p w14:paraId="1AF3556B">
      <w:pPr>
        <w:jc w:val="both"/>
        <w:rPr>
          <w:rFonts w:cs="Arial"/>
          <w:szCs w:val="24"/>
          <w:lang w:val="es-ES"/>
        </w:rPr>
      </w:pPr>
      <w:r>
        <w:rPr>
          <w:rFonts w:cs="Arial"/>
          <w:szCs w:val="24"/>
          <w:lang w:val="es-ES"/>
        </w:rPr>
        <w:t>•</w:t>
      </w:r>
      <w:r>
        <w:rPr>
          <w:rFonts w:cs="Arial"/>
          <w:szCs w:val="24"/>
          <w:lang w:val="es-ES"/>
        </w:rPr>
        <w:tab/>
      </w:r>
      <w:r>
        <w:rPr>
          <w:rFonts w:cs="Arial"/>
          <w:szCs w:val="24"/>
          <w:lang w:val="es-ES"/>
        </w:rPr>
        <w:t>60% para personas independientes</w:t>
      </w:r>
    </w:p>
    <w:p w14:paraId="0420BAF3">
      <w:pPr>
        <w:jc w:val="both"/>
        <w:rPr>
          <w:rFonts w:cs="Arial"/>
          <w:szCs w:val="24"/>
          <w:lang w:val="es-ES"/>
        </w:rPr>
      </w:pPr>
      <w:r>
        <w:rPr>
          <w:rFonts w:cs="Arial"/>
          <w:szCs w:val="24"/>
          <w:lang w:val="es-ES"/>
        </w:rPr>
        <w:t>•</w:t>
      </w:r>
      <w:r>
        <w:rPr>
          <w:rFonts w:cs="Arial"/>
          <w:szCs w:val="24"/>
          <w:lang w:val="es-ES"/>
        </w:rPr>
        <w:tab/>
      </w:r>
      <w:r>
        <w:rPr>
          <w:rFonts w:cs="Arial"/>
          <w:szCs w:val="24"/>
          <w:lang w:val="es-ES"/>
        </w:rPr>
        <w:t>80% para personas pensionadas</w:t>
      </w:r>
    </w:p>
    <w:p w14:paraId="70A72F90">
      <w:pPr>
        <w:jc w:val="both"/>
        <w:rPr>
          <w:rFonts w:cs="Arial"/>
          <w:szCs w:val="24"/>
          <w:lang w:val="es-ES"/>
        </w:rPr>
      </w:pPr>
      <w:r>
        <w:rPr>
          <w:rFonts w:cs="Arial"/>
          <w:szCs w:val="24"/>
          <w:lang w:val="es-ES"/>
        </w:rPr>
        <w:t>•</w:t>
      </w:r>
      <w:r>
        <w:rPr>
          <w:rFonts w:cs="Arial"/>
          <w:szCs w:val="24"/>
          <w:lang w:val="es-ES"/>
        </w:rPr>
        <w:tab/>
      </w:r>
      <w:r>
        <w:rPr>
          <w:rFonts w:cs="Arial"/>
          <w:szCs w:val="24"/>
          <w:lang w:val="es-ES"/>
        </w:rPr>
        <w:t>80% agricultores</w:t>
      </w:r>
    </w:p>
    <w:p w14:paraId="58D8966E">
      <w:pPr>
        <w:jc w:val="both"/>
        <w:rPr>
          <w:rFonts w:cs="Arial"/>
          <w:szCs w:val="24"/>
          <w:lang w:val="es-ES"/>
        </w:rPr>
      </w:pPr>
      <w:r>
        <w:rPr>
          <w:rFonts w:cs="Arial"/>
          <w:szCs w:val="24"/>
          <w:lang w:val="es-ES"/>
        </w:rPr>
        <w:t>Los márgenes de confianza para el cálculo de capacidad de pago de los co-deudores son:</w:t>
      </w:r>
    </w:p>
    <w:p w14:paraId="080FE231">
      <w:pPr>
        <w:jc w:val="both"/>
        <w:rPr>
          <w:rFonts w:cs="Arial"/>
          <w:szCs w:val="24"/>
          <w:lang w:val="es-ES"/>
        </w:rPr>
      </w:pPr>
      <w:r>
        <w:rPr>
          <w:rFonts w:cs="Arial"/>
          <w:szCs w:val="24"/>
          <w:lang w:val="es-ES"/>
        </w:rPr>
        <w:t>•</w:t>
      </w:r>
      <w:r>
        <w:rPr>
          <w:rFonts w:cs="Arial"/>
          <w:szCs w:val="24"/>
          <w:lang w:val="es-ES"/>
        </w:rPr>
        <w:tab/>
      </w:r>
      <w:r>
        <w:rPr>
          <w:rFonts w:cs="Arial"/>
          <w:szCs w:val="24"/>
          <w:lang w:val="es-ES"/>
        </w:rPr>
        <w:t>80% para personas empleados</w:t>
      </w:r>
    </w:p>
    <w:p w14:paraId="64651850">
      <w:pPr>
        <w:jc w:val="both"/>
        <w:rPr>
          <w:rFonts w:cs="Arial"/>
          <w:szCs w:val="24"/>
          <w:lang w:val="es-ES"/>
        </w:rPr>
      </w:pPr>
      <w:r>
        <w:rPr>
          <w:rFonts w:cs="Arial"/>
          <w:szCs w:val="24"/>
          <w:lang w:val="es-ES"/>
        </w:rPr>
        <w:t>•</w:t>
      </w:r>
      <w:r>
        <w:rPr>
          <w:rFonts w:cs="Arial"/>
          <w:szCs w:val="24"/>
          <w:lang w:val="es-ES"/>
        </w:rPr>
        <w:tab/>
      </w:r>
      <w:r>
        <w:rPr>
          <w:rFonts w:cs="Arial"/>
          <w:szCs w:val="24"/>
          <w:lang w:val="es-ES"/>
        </w:rPr>
        <w:t>60% para personas independientes</w:t>
      </w:r>
    </w:p>
    <w:p w14:paraId="15629CD7">
      <w:pPr>
        <w:jc w:val="both"/>
        <w:rPr>
          <w:rFonts w:cs="Arial"/>
          <w:szCs w:val="24"/>
          <w:lang w:val="es-ES"/>
        </w:rPr>
      </w:pPr>
      <w:r>
        <w:rPr>
          <w:rFonts w:cs="Arial"/>
          <w:szCs w:val="24"/>
          <w:lang w:val="es-ES"/>
        </w:rPr>
        <w:t>•</w:t>
      </w:r>
      <w:r>
        <w:rPr>
          <w:rFonts w:cs="Arial"/>
          <w:szCs w:val="24"/>
          <w:lang w:val="es-ES"/>
        </w:rPr>
        <w:tab/>
      </w:r>
      <w:r>
        <w:rPr>
          <w:rFonts w:cs="Arial"/>
          <w:szCs w:val="24"/>
          <w:lang w:val="es-ES"/>
        </w:rPr>
        <w:t>80% para personas pensionadas</w:t>
      </w:r>
    </w:p>
    <w:p w14:paraId="45D12F54">
      <w:pPr>
        <w:pStyle w:val="4"/>
      </w:pPr>
      <w:bookmarkStart w:id="160" w:name="_Toc182642841"/>
      <w:bookmarkStart w:id="161" w:name="_Toc151443624"/>
      <w:r>
        <w:t>8.3.3 Perfil del deudor</w:t>
      </w:r>
      <w:bookmarkEnd w:id="160"/>
      <w:bookmarkEnd w:id="161"/>
    </w:p>
    <w:p w14:paraId="05117738">
      <w:pPr>
        <w:ind w:left="142" w:right="49"/>
        <w:jc w:val="both"/>
        <w:rPr>
          <w:rFonts w:cs="Arial"/>
          <w:color w:val="000000" w:themeColor="text1"/>
          <w:szCs w:val="24"/>
          <w14:textFill>
            <w14:solidFill>
              <w14:schemeClr w14:val="tx1"/>
            </w14:solidFill>
          </w14:textFill>
        </w:rPr>
      </w:pPr>
    </w:p>
    <w:p w14:paraId="0A1760AF">
      <w:pPr>
        <w:tabs>
          <w:tab w:val="left" w:pos="4111"/>
        </w:tabs>
        <w:ind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El perfil del deudor, busca identificar cualidades o características específicas que podrían asociadas al mismo, para lo cual se recurrirá al análisis de los siguientes aspectos:</w:t>
      </w:r>
    </w:p>
    <w:p w14:paraId="2E3DD499">
      <w:pPr>
        <w:rPr>
          <w:rFonts w:cs="Arial"/>
          <w:b/>
          <w:bCs/>
        </w:rPr>
      </w:pPr>
      <w:r>
        <w:rPr>
          <w:rFonts w:cs="Arial"/>
          <w:b/>
          <w:bCs/>
        </w:rPr>
        <w:t xml:space="preserve">  8.3.3.1 Consultas centrales de riesgo</w:t>
      </w:r>
    </w:p>
    <w:p w14:paraId="303496C2">
      <w:pPr>
        <w:jc w:val="both"/>
        <w:rPr>
          <w:rFonts w:cs="Arial"/>
          <w:szCs w:val="24"/>
          <w:lang w:val="es-ES"/>
        </w:rPr>
      </w:pPr>
      <w:r>
        <w:rPr>
          <w:rFonts w:cs="Arial"/>
          <w:szCs w:val="24"/>
          <w:lang w:val="es-ES"/>
        </w:rPr>
        <w:t>En esta fase se deberá analizar el reporte obtenido de la consulta de la central de riesgos en la cual se registra el comportamiento crediticio con el sector financiero, asegurador o real, el manejo de cuentas corrientes y de tarjetas de crédito.  Esta información corresponde a la relación que tienen los solicitantes con las instituciones financieras vigiladas por la Superintendencia Financiera, la Superintendencia de Economía Solidaria y/o con establecimientos comerciales, independientemente de su valor.</w:t>
      </w:r>
    </w:p>
    <w:p w14:paraId="6E64D163">
      <w:pPr>
        <w:jc w:val="both"/>
        <w:rPr>
          <w:rFonts w:cs="Arial"/>
          <w:szCs w:val="24"/>
          <w:lang w:val="es-ES"/>
        </w:rPr>
      </w:pPr>
      <w:r>
        <w:rPr>
          <w:rFonts w:cs="Arial"/>
          <w:szCs w:val="24"/>
          <w:lang w:val="es-ES"/>
        </w:rPr>
        <w:t>Podrán exceptuarse de la consulta a las centrales de riesgo, los deudores cuya sumatoria del valor de sus aportes excedan en más de 1 SMLMV el saldo de endeudamiento de las obligaciones vigentes a cargo del deudor, incluyendo el monto del crédito solicitado.</w:t>
      </w:r>
    </w:p>
    <w:p w14:paraId="6C884F1D">
      <w:pPr>
        <w:jc w:val="both"/>
        <w:rPr>
          <w:rFonts w:cs="Arial"/>
          <w:b/>
          <w:bCs/>
          <w:szCs w:val="24"/>
          <w:lang w:val="es-ES"/>
        </w:rPr>
      </w:pPr>
      <w:r>
        <w:rPr>
          <w:rFonts w:cs="Arial"/>
          <w:b/>
          <w:bCs/>
          <w:szCs w:val="24"/>
          <w:lang w:val="es-ES"/>
        </w:rPr>
        <w:t>Anotaciones de centrales de riesgos:</w:t>
      </w:r>
    </w:p>
    <w:p w14:paraId="4D04AD3C">
      <w:pPr>
        <w:jc w:val="both"/>
        <w:rPr>
          <w:rFonts w:cs="Arial"/>
          <w:szCs w:val="24"/>
          <w:lang w:val="es-ES"/>
        </w:rPr>
      </w:pPr>
      <w:r>
        <w:rPr>
          <w:rFonts w:cs="Arial"/>
          <w:szCs w:val="24"/>
          <w:lang w:val="es-ES"/>
        </w:rPr>
        <w:t>Si el asociado registra alguna de las siguientes anotaciones deberá presentar obligatoriamente el Paz y Salvo, recibo de pago de la obligación o la reclamación frente a la central de riesgo por la deuda mal calificada:</w:t>
      </w:r>
    </w:p>
    <w:p w14:paraId="4776BD73">
      <w:pPr>
        <w:jc w:val="both"/>
        <w:rPr>
          <w:rFonts w:cs="Arial"/>
          <w:szCs w:val="24"/>
          <w:lang w:val="es-ES"/>
        </w:rPr>
      </w:pPr>
      <w:r>
        <w:rPr>
          <w:rFonts w:cs="Arial"/>
          <w:szCs w:val="24"/>
          <w:lang w:val="es-ES"/>
        </w:rPr>
        <w:t>•</w:t>
      </w:r>
      <w:r>
        <w:rPr>
          <w:rFonts w:cs="Arial"/>
          <w:szCs w:val="24"/>
          <w:lang w:val="es-ES"/>
        </w:rPr>
        <w:tab/>
      </w:r>
      <w:r>
        <w:rPr>
          <w:rFonts w:cs="Arial"/>
          <w:szCs w:val="24"/>
          <w:lang w:val="es-ES"/>
        </w:rPr>
        <w:t xml:space="preserve">calificaciones diferentes de “A”, </w:t>
      </w:r>
    </w:p>
    <w:p w14:paraId="314EB8C6">
      <w:pPr>
        <w:jc w:val="both"/>
        <w:rPr>
          <w:rFonts w:cs="Arial"/>
          <w:szCs w:val="24"/>
          <w:lang w:val="es-ES"/>
        </w:rPr>
      </w:pPr>
      <w:r>
        <w:rPr>
          <w:rFonts w:cs="Arial"/>
          <w:szCs w:val="24"/>
          <w:lang w:val="es-ES"/>
        </w:rPr>
        <w:t>•</w:t>
      </w:r>
      <w:r>
        <w:rPr>
          <w:rFonts w:cs="Arial"/>
          <w:szCs w:val="24"/>
          <w:lang w:val="es-ES"/>
        </w:rPr>
        <w:tab/>
      </w:r>
      <w:r>
        <w:rPr>
          <w:rFonts w:cs="Arial"/>
          <w:szCs w:val="24"/>
          <w:lang w:val="es-ES"/>
        </w:rPr>
        <w:t xml:space="preserve">Cuentas Corrientes Canceladas (No saldadas), </w:t>
      </w:r>
    </w:p>
    <w:p w14:paraId="34134F29">
      <w:pPr>
        <w:jc w:val="both"/>
        <w:rPr>
          <w:rFonts w:cs="Arial"/>
          <w:szCs w:val="24"/>
          <w:lang w:val="es-ES"/>
        </w:rPr>
      </w:pPr>
      <w:r>
        <w:rPr>
          <w:rFonts w:cs="Arial"/>
          <w:szCs w:val="24"/>
          <w:lang w:val="es-ES"/>
        </w:rPr>
        <w:t>•</w:t>
      </w:r>
      <w:r>
        <w:rPr>
          <w:rFonts w:cs="Arial"/>
          <w:szCs w:val="24"/>
          <w:lang w:val="es-ES"/>
        </w:rPr>
        <w:tab/>
      </w:r>
      <w:r>
        <w:rPr>
          <w:rFonts w:cs="Arial"/>
          <w:szCs w:val="24"/>
          <w:lang w:val="es-ES"/>
        </w:rPr>
        <w:t xml:space="preserve">Tarjetas de Crédito Canceladas (No saldadas) ó con anotaciones de riesgo, </w:t>
      </w:r>
    </w:p>
    <w:p w14:paraId="63D09974">
      <w:pPr>
        <w:jc w:val="both"/>
        <w:rPr>
          <w:rFonts w:cs="Arial"/>
          <w:szCs w:val="24"/>
          <w:lang w:val="es-ES"/>
        </w:rPr>
      </w:pPr>
      <w:r>
        <w:rPr>
          <w:rFonts w:cs="Arial"/>
          <w:szCs w:val="24"/>
          <w:lang w:val="es-ES"/>
        </w:rPr>
        <w:t>•</w:t>
      </w:r>
      <w:r>
        <w:rPr>
          <w:rFonts w:cs="Arial"/>
          <w:szCs w:val="24"/>
          <w:lang w:val="es-ES"/>
        </w:rPr>
        <w:tab/>
      </w:r>
      <w:r>
        <w:rPr>
          <w:rFonts w:cs="Arial"/>
          <w:szCs w:val="24"/>
          <w:lang w:val="es-ES"/>
        </w:rPr>
        <w:t xml:space="preserve">cartera con anotaciones de riesgo (reestructuradas o castigadas), </w:t>
      </w:r>
    </w:p>
    <w:p w14:paraId="7E0DE0E8">
      <w:pPr>
        <w:jc w:val="both"/>
        <w:rPr>
          <w:rFonts w:cs="Arial"/>
          <w:szCs w:val="24"/>
          <w:lang w:val="es-ES"/>
        </w:rPr>
      </w:pPr>
      <w:r>
        <w:rPr>
          <w:rFonts w:cs="Arial"/>
          <w:szCs w:val="24"/>
          <w:lang w:val="es-ES"/>
        </w:rPr>
        <w:t>•</w:t>
      </w:r>
      <w:r>
        <w:rPr>
          <w:rFonts w:cs="Arial"/>
          <w:szCs w:val="24"/>
          <w:lang w:val="es-ES"/>
        </w:rPr>
        <w:tab/>
      </w:r>
      <w:r>
        <w:rPr>
          <w:rFonts w:cs="Arial"/>
          <w:szCs w:val="24"/>
          <w:lang w:val="es-ES"/>
        </w:rPr>
        <w:t xml:space="preserve">cartera del sector real o tarjetas de crédito cuyo estado sea vigente pero que presente cuotas en mora, etc. </w:t>
      </w:r>
    </w:p>
    <w:p w14:paraId="757A1293">
      <w:pPr>
        <w:jc w:val="both"/>
        <w:rPr>
          <w:rFonts w:cs="Arial"/>
          <w:b/>
          <w:bCs/>
          <w:szCs w:val="24"/>
          <w:lang w:val="es-ES"/>
        </w:rPr>
      </w:pPr>
      <w:r>
        <w:rPr>
          <w:rFonts w:cs="Arial"/>
          <w:b/>
          <w:bCs/>
          <w:szCs w:val="24"/>
          <w:lang w:val="es-ES"/>
        </w:rPr>
        <w:t>Comportamiento Crediticio Con Otras Entidades Financieras</w:t>
      </w:r>
    </w:p>
    <w:p w14:paraId="7071E270">
      <w:pPr>
        <w:jc w:val="both"/>
        <w:rPr>
          <w:rFonts w:cs="Arial"/>
          <w:szCs w:val="24"/>
          <w:lang w:val="es-ES"/>
        </w:rPr>
      </w:pPr>
      <w:r>
        <w:rPr>
          <w:rFonts w:cs="Arial"/>
          <w:szCs w:val="24"/>
          <w:lang w:val="es-ES"/>
        </w:rPr>
        <w:t>Para conocer cómo ha sido el comportamiento del ASOCIADO en su actividad crediticia con las demás entidades financieras se deberá tener en cuenta lo siguiente:</w:t>
      </w:r>
    </w:p>
    <w:p w14:paraId="4DE0D827">
      <w:pPr>
        <w:jc w:val="both"/>
        <w:rPr>
          <w:rFonts w:cs="Arial"/>
          <w:szCs w:val="24"/>
          <w:lang w:val="es-ES"/>
        </w:rPr>
      </w:pPr>
      <w:r>
        <w:rPr>
          <w:rFonts w:cs="Arial"/>
          <w:szCs w:val="24"/>
          <w:lang w:val="es-ES"/>
        </w:rPr>
        <w:t>•</w:t>
      </w:r>
      <w:r>
        <w:rPr>
          <w:rFonts w:cs="Arial"/>
          <w:szCs w:val="24"/>
          <w:lang w:val="es-ES"/>
        </w:rPr>
        <w:tab/>
      </w:r>
      <w:r>
        <w:rPr>
          <w:rFonts w:cs="Arial"/>
          <w:szCs w:val="24"/>
          <w:lang w:val="es-ES"/>
        </w:rPr>
        <w:t>No se autoriza conceder préstamos a ASOCIADOS que registren mal comportamiento crediticio en otras entidades financieras, si no existe una justificación válida, la cual debe anexarse a la documentación ANTES de presentarse al ente aprobatorio respectivo.</w:t>
      </w:r>
    </w:p>
    <w:p w14:paraId="2DF8610D">
      <w:pPr>
        <w:ind w:left="142"/>
        <w:rPr>
          <w:rFonts w:cs="Arial"/>
          <w:b/>
          <w:bCs/>
        </w:rPr>
      </w:pPr>
      <w:r>
        <w:rPr>
          <w:rFonts w:cs="Arial"/>
          <w:b/>
          <w:bCs/>
        </w:rPr>
        <w:t xml:space="preserve">8.3.3.2 Estimación de la solvencia económica del deudor y codeudor </w:t>
      </w:r>
    </w:p>
    <w:p w14:paraId="776D29D2">
      <w:pPr>
        <w:jc w:val="both"/>
        <w:rPr>
          <w:rFonts w:cs="Arial"/>
          <w:b/>
          <w:bCs/>
        </w:rPr>
      </w:pPr>
      <w:r>
        <w:rPr>
          <w:rFonts w:cs="Arial"/>
        </w:rPr>
        <w:t xml:space="preserve">Para analizar la solvencia económica del deudor, se debe precisar el nivel de endeudamiento y la calidad de los activos. </w:t>
      </w:r>
    </w:p>
    <w:p w14:paraId="31EA442B">
      <w:pPr>
        <w:jc w:val="both"/>
        <w:rPr>
          <w:rFonts w:cs="Arial"/>
        </w:rPr>
      </w:pPr>
      <w:r>
        <w:rPr>
          <w:rFonts w:cs="Arial"/>
        </w:rPr>
        <w:t>Para hacer los cálculos anteriores se debe indagar al solicitante acerca de los activos que posea (bienes raíces, vehículos, maquinaria, semovientes, inversiones, etc.). De igual manera se deben tener en cuenta las obligaciones financieras actuales que tenga el asociado.</w:t>
      </w:r>
    </w:p>
    <w:p w14:paraId="1435E1DB">
      <w:pPr>
        <w:jc w:val="both"/>
        <w:rPr>
          <w:rFonts w:cs="Arial"/>
        </w:rPr>
      </w:pPr>
      <w:r>
        <w:rPr>
          <w:rFonts w:cs="Arial"/>
        </w:rPr>
        <w:t>Se considera solvencia económica la capacidad de respaldo que ofrecen los activos fijos, con relación al monto del crédito.</w:t>
      </w:r>
    </w:p>
    <w:p w14:paraId="55B83AB4">
      <w:pPr>
        <w:jc w:val="both"/>
        <w:rPr>
          <w:rFonts w:cs="Arial"/>
          <w:b/>
          <w:bCs/>
          <w:u w:val="single"/>
        </w:rPr>
      </w:pPr>
      <w:r>
        <w:rPr>
          <w:rFonts w:cs="Arial"/>
          <w:b/>
          <w:bCs/>
          <w:u w:val="single"/>
        </w:rPr>
        <w:t xml:space="preserve">Calidad de los activos </w:t>
      </w:r>
    </w:p>
    <w:p w14:paraId="17B0E156">
      <w:pPr>
        <w:jc w:val="both"/>
        <w:rPr>
          <w:rFonts w:cs="Arial"/>
        </w:rPr>
      </w:pPr>
      <w:r>
        <w:rPr>
          <w:rFonts w:cs="Arial"/>
        </w:rPr>
        <w:t xml:space="preserve">Se consideran activos fijos para el cálculo de solvencia todos aquellos bienes embargables. Como ejemplo de bienes embargables están: los Terrenos, edificios, construcciones en curso (urbanos o rurales), vehículos, el 50% del valor registrado en maquinaria y equipo dependiendo del tipo de maquinaria, características y estado de esta y el 100% de acciones en sociedades anónimas debidamente inscritas en bolsa y otros. Por ningún motivo podrán aceptar como activos para el cálculo de la solvencia, los bienes registrados como patrimonio de familia. Cabe aclarar que el asociado debe soportar, al menos, los activos necesarios para la solvencia del crédito. </w:t>
      </w:r>
    </w:p>
    <w:p w14:paraId="77C160D4">
      <w:pPr>
        <w:jc w:val="both"/>
        <w:rPr>
          <w:rFonts w:cs="Arial"/>
        </w:rPr>
      </w:pPr>
      <w:r>
        <w:rPr>
          <w:rFonts w:cs="Arial"/>
        </w:rPr>
        <w:t>Se aceptarán como garantía personal principal, las casas de habitación que tengan máximo tres propietarios, en cuyo caso deberán firmar todos o deberán otorgar poder a uno de ellos para firmar en representación legal de los demás.</w:t>
      </w:r>
    </w:p>
    <w:p w14:paraId="45E47C54">
      <w:pPr>
        <w:jc w:val="both"/>
        <w:rPr>
          <w:rFonts w:cs="Arial"/>
        </w:rPr>
      </w:pPr>
      <w:r>
        <w:rPr>
          <w:rFonts w:cs="Arial"/>
        </w:rPr>
        <w:t>En el caso de inmuebles rurales o inmuebles urbanos de uso comercial, se aceptarán hasta con máximo 5 propietarios, y con la firma de los propietarios que sean necesarios para brindar la cobertura del crédito.</w:t>
      </w:r>
    </w:p>
    <w:p w14:paraId="06CD0E26">
      <w:pPr>
        <w:jc w:val="both"/>
        <w:rPr>
          <w:rFonts w:cs="Arial"/>
          <w:b/>
          <w:bCs/>
          <w:u w:val="single"/>
        </w:rPr>
      </w:pPr>
      <w:r>
        <w:rPr>
          <w:rFonts w:cs="Arial"/>
          <w:b/>
          <w:bCs/>
          <w:u w:val="single"/>
        </w:rPr>
        <w:t>Condiciones:</w:t>
      </w:r>
    </w:p>
    <w:p w14:paraId="1D355D0D">
      <w:pPr>
        <w:jc w:val="both"/>
        <w:rPr>
          <w:rFonts w:cs="Arial"/>
        </w:rPr>
      </w:pPr>
      <w:r>
        <w:rPr>
          <w:rFonts w:cs="Arial"/>
        </w:rPr>
        <w:t xml:space="preserve">Para que el crédito sea viable se requiere que el nivel de endeudamiento futuro (teniendo en cuenta la nueva deuda) sea menor o igual al 70%. </w:t>
      </w:r>
    </w:p>
    <w:p w14:paraId="13F48201">
      <w:pPr>
        <w:rPr>
          <w:rFonts w:cs="Arial"/>
          <w:b/>
          <w:bCs/>
        </w:rPr>
      </w:pPr>
      <w:r>
        <w:rPr>
          <w:rFonts w:cs="Arial"/>
          <w:b/>
          <w:bCs/>
        </w:rPr>
        <w:t xml:space="preserve">  8.3.3.3 Garantías requeridas</w:t>
      </w:r>
    </w:p>
    <w:p w14:paraId="68AD380A">
      <w:pPr>
        <w:rPr>
          <w:rFonts w:cs="Arial"/>
        </w:rPr>
      </w:pPr>
      <w:r>
        <w:rPr>
          <w:rFonts w:cs="Arial"/>
        </w:rPr>
        <w:t>Las garantías serán requeridas teniendo en cuenta a los limites ya establecidos, ya sean garantía admisibles, otras garantías o garantía personal.</w:t>
      </w:r>
    </w:p>
    <w:p w14:paraId="584BB91D">
      <w:pPr>
        <w:rPr>
          <w:rFonts w:cs="Arial"/>
        </w:rPr>
      </w:pPr>
      <w:r>
        <w:rPr>
          <w:rFonts w:cs="Arial"/>
        </w:rPr>
        <w:t>Las coberturas de las garantías admisibles están definidas, según lo establecido en el numeral 11.2 del presente manual.</w:t>
      </w:r>
    </w:p>
    <w:p w14:paraId="47F162A8">
      <w:pPr>
        <w:rPr>
          <w:rFonts w:cs="Arial"/>
          <w:b/>
          <w:bCs/>
        </w:rPr>
      </w:pPr>
      <w:r>
        <w:rPr>
          <w:rFonts w:cs="Arial"/>
          <w:b/>
          <w:bCs/>
        </w:rPr>
        <w:t xml:space="preserve">  8.3.3.4 Constatación del comportamiento crediticio con COOPCALLEJONA</w:t>
      </w:r>
    </w:p>
    <w:p w14:paraId="78851047">
      <w:pPr>
        <w:rPr>
          <w:rFonts w:cs="Arial"/>
        </w:rPr>
      </w:pPr>
      <w:r>
        <w:rPr>
          <w:rFonts w:cs="Arial"/>
        </w:rPr>
        <w:t>Es importante conocer el comportamiento crediticio con COOPCALLEJONA el cual nos permite percibir cuáles son sus hábitos de pago.</w:t>
      </w:r>
    </w:p>
    <w:p w14:paraId="23CE5D38">
      <w:pPr>
        <w:rPr>
          <w:rFonts w:cs="Arial"/>
        </w:rPr>
      </w:pPr>
      <w:r>
        <w:rPr>
          <w:rFonts w:cs="Arial"/>
        </w:rPr>
        <w:t>El comportamiento crediticio con la cooperativa se analiza teniendo en cuenta el promedio de días de mora, para lo cual se debe tener en cuenta lo siguiente:</w:t>
      </w:r>
    </w:p>
    <w:p w14:paraId="3EDAF6B3">
      <w:pPr>
        <w:rPr>
          <w:rFonts w:cs="Arial"/>
          <w:u w:val="single"/>
        </w:rPr>
      </w:pPr>
      <w:r>
        <w:rPr>
          <w:rFonts w:cs="Arial"/>
          <w:u w:val="single"/>
        </w:rPr>
        <w:t>Cuando el asociado tiene un crédito:</w:t>
      </w:r>
    </w:p>
    <w:p w14:paraId="71370432">
      <w:pPr>
        <w:rPr>
          <w:rFonts w:cs="Arial"/>
        </w:rPr>
      </w:pPr>
      <w:r>
        <w:rPr>
          <w:rFonts w:cs="Arial"/>
        </w:rPr>
        <w:t>Total de días de mora (toda la vida del crédito) / # de cuotas canceladas</w:t>
      </w:r>
    </w:p>
    <w:p w14:paraId="66A8E3D4">
      <w:pPr>
        <w:rPr>
          <w:rFonts w:cs="Arial"/>
          <w:u w:val="single"/>
        </w:rPr>
      </w:pPr>
      <w:r>
        <w:rPr>
          <w:rFonts w:cs="Arial"/>
          <w:u w:val="single"/>
        </w:rPr>
        <w:t>Cuando el asociado tiene dos o más créditos:</w:t>
      </w:r>
    </w:p>
    <w:p w14:paraId="78392AFB">
      <w:pPr>
        <w:rPr>
          <w:rFonts w:cs="Arial"/>
        </w:rPr>
      </w:pPr>
      <w:r>
        <w:rPr>
          <w:rFonts w:cs="Arial"/>
        </w:rPr>
        <w:t>se suman los días de mora de los créditos / suma de los # de cuotas canceladas de los créditos</w:t>
      </w:r>
    </w:p>
    <w:p w14:paraId="4432DFC3">
      <w:pPr>
        <w:rPr>
          <w:rFonts w:cs="Arial"/>
        </w:rPr>
      </w:pPr>
      <w:r>
        <w:rPr>
          <w:rFonts w:cs="Arial"/>
        </w:rPr>
        <w:t>Si el asociado no tiene créditos vigentes se mira el último crédito manejado al cual se le calcula el promedio de mora.</w:t>
      </w:r>
    </w:p>
    <w:p w14:paraId="0EA28EE4">
      <w:pPr>
        <w:rPr>
          <w:rFonts w:cs="Arial"/>
        </w:rPr>
      </w:pPr>
      <w:r>
        <w:rPr>
          <w:rFonts w:cs="Arial"/>
        </w:rPr>
        <w:t>Cuando el asociado no ha manejado créditos en Coopcallejona se tiene en cuenta el historial con otras entidades. Se debe verificar que su comportamiento de pago sea normal. Así mismo se debe tener en cuenta el crédito más alto manejado.</w:t>
      </w:r>
    </w:p>
    <w:p w14:paraId="69FE8F26">
      <w:pPr>
        <w:keepNext/>
        <w:numPr>
          <w:ilvl w:val="1"/>
          <w:numId w:val="34"/>
        </w:numPr>
        <w:spacing w:before="240" w:after="60" w:line="240" w:lineRule="auto"/>
        <w:ind w:left="142" w:right="49" w:firstLine="0"/>
        <w:jc w:val="both"/>
        <w:outlineLvl w:val="1"/>
        <w:rPr>
          <w:rFonts w:eastAsia="Times New Roman" w:cs="Arial"/>
          <w:b/>
          <w:bCs/>
          <w:color w:val="000000" w:themeColor="text1"/>
          <w:szCs w:val="24"/>
          <w:lang w:val="es-ES" w:eastAsia="es-ES" w:bidi="en-US"/>
          <w14:textFill>
            <w14:solidFill>
              <w14:schemeClr w14:val="tx1"/>
            </w14:solidFill>
          </w14:textFill>
        </w:rPr>
      </w:pPr>
      <w:bookmarkStart w:id="162" w:name="_Toc182642842"/>
      <w:bookmarkStart w:id="163" w:name="_Toc151443625"/>
      <w:bookmarkStart w:id="164" w:name="_Hlk179120530"/>
      <w:r>
        <w:rPr>
          <w:rFonts w:eastAsia="Times New Roman" w:cs="Arial"/>
          <w:b/>
          <w:bCs/>
          <w:color w:val="000000" w:themeColor="text1"/>
          <w:szCs w:val="24"/>
          <w:lang w:val="es-ES" w:eastAsia="es-ES" w:bidi="en-US"/>
          <w14:textFill>
            <w14:solidFill>
              <w14:schemeClr w14:val="tx1"/>
            </w14:solidFill>
          </w14:textFill>
        </w:rPr>
        <w:t>Conceptos en el Análisis De Crédito</w:t>
      </w:r>
      <w:bookmarkEnd w:id="162"/>
      <w:bookmarkEnd w:id="163"/>
    </w:p>
    <w:bookmarkEnd w:id="164"/>
    <w:p w14:paraId="44610A79">
      <w:pPr>
        <w:rPr>
          <w:lang w:val="es-ES" w:eastAsia="es-ES" w:bidi="en-US"/>
        </w:rPr>
      </w:pPr>
    </w:p>
    <w:p w14:paraId="79D519EE">
      <w:pPr>
        <w:rPr>
          <w:rFonts w:cs="Arial"/>
          <w:u w:val="single"/>
        </w:rPr>
      </w:pPr>
      <w:r>
        <w:rPr>
          <w:rFonts w:cs="Arial"/>
          <w:u w:val="single"/>
        </w:rPr>
        <w:t>Visita al Asociado</w:t>
      </w:r>
    </w:p>
    <w:p w14:paraId="7F50B193">
      <w:pPr>
        <w:rPr>
          <w:rFonts w:cs="Arial"/>
        </w:rPr>
      </w:pPr>
      <w:r>
        <w:rPr>
          <w:rFonts w:cs="Arial"/>
        </w:rPr>
        <w:t>Se debe realizar visitas a los potenciales deudores cuando se trate de créditos por primera vez, o según lo solicite el analista de crédito.</w:t>
      </w:r>
    </w:p>
    <w:p w14:paraId="5BDA2D8F">
      <w:pPr>
        <w:rPr>
          <w:rFonts w:cs="Arial"/>
          <w:u w:val="single"/>
        </w:rPr>
      </w:pPr>
      <w:r>
        <w:rPr>
          <w:rFonts w:cs="Arial"/>
          <w:u w:val="single"/>
        </w:rPr>
        <w:t>Concepto del asistente administrativo de crédito y cartera</w:t>
      </w:r>
    </w:p>
    <w:p w14:paraId="4E24DEAA">
      <w:pPr>
        <w:rPr>
          <w:rFonts w:cs="Arial"/>
        </w:rPr>
      </w:pPr>
      <w:r>
        <w:rPr>
          <w:rFonts w:cs="Arial"/>
        </w:rPr>
        <w:t>Debe ser concreto y en forma precisa, para que la toma de la decisión sea lo más acertada posible, registrando el concepto sobre perfil de riesgo del deudor y capacidad de pago y demás límites y políticas requeridas. Este concepto será registrado en el formato de aprobación.</w:t>
      </w:r>
    </w:p>
    <w:p w14:paraId="090276AF">
      <w:pPr>
        <w:jc w:val="both"/>
        <w:rPr>
          <w:rFonts w:cs="Arial"/>
          <w:szCs w:val="24"/>
          <w:lang w:val="es-ES"/>
        </w:rPr>
      </w:pPr>
    </w:p>
    <w:p w14:paraId="65325D48">
      <w:pPr>
        <w:jc w:val="both"/>
        <w:rPr>
          <w:rFonts w:cs="Arial"/>
          <w:szCs w:val="24"/>
          <w:lang w:val="es-ES"/>
        </w:rPr>
      </w:pPr>
    </w:p>
    <w:p w14:paraId="38F1DD52">
      <w:pPr>
        <w:pStyle w:val="2"/>
        <w:rPr>
          <w:rFonts w:eastAsia="Times New Roman"/>
        </w:rPr>
      </w:pPr>
      <w:bookmarkStart w:id="165" w:name="_Toc182642843"/>
      <w:bookmarkStart w:id="166" w:name="_Toc151443645"/>
      <w:r>
        <w:rPr>
          <w:rFonts w:eastAsia="Times New Roman"/>
        </w:rPr>
        <w:t>POLÍTICAS DE APROBACIÓN DE CRÉDITOS:</w:t>
      </w:r>
      <w:bookmarkEnd w:id="165"/>
      <w:bookmarkEnd w:id="166"/>
    </w:p>
    <w:p w14:paraId="16FF1FFB">
      <w:pPr>
        <w:jc w:val="both"/>
        <w:rPr>
          <w:rFonts w:cs="Arial"/>
          <w:szCs w:val="24"/>
          <w:lang w:val="es-ES"/>
        </w:rPr>
      </w:pPr>
      <w:r>
        <w:rPr>
          <w:rFonts w:cs="Arial"/>
          <w:szCs w:val="24"/>
          <w:lang w:val="es-ES"/>
        </w:rPr>
        <w:t xml:space="preserve">Una vez el analista ha efectuado su proceso de análisis, ha verificado la información, limites, los criterios de aprobación, deberá registrar en la solicitud de crédito o en el formato que la cooperativa diseñe para la aprobación, su concepto dejando constancia de las condiciones mínimas tales como monto, plazo, línea, tasa, garantía, estamento competente. </w:t>
      </w:r>
    </w:p>
    <w:p w14:paraId="468A17F0">
      <w:pPr>
        <w:jc w:val="both"/>
        <w:rPr>
          <w:rFonts w:cs="Arial"/>
          <w:szCs w:val="24"/>
          <w:lang w:val="es-ES"/>
        </w:rPr>
      </w:pPr>
      <w:r>
        <w:rPr>
          <w:rFonts w:cs="Arial"/>
          <w:szCs w:val="24"/>
          <w:lang w:val="es-ES"/>
        </w:rPr>
        <w:t>Las solicitudes tendrán el trámite de aprobación ante la respectiva instancia según los niveles de atribuciones establecidos.</w:t>
      </w:r>
    </w:p>
    <w:p w14:paraId="3839658A">
      <w:pPr>
        <w:jc w:val="both"/>
        <w:rPr>
          <w:rFonts w:cs="Arial"/>
          <w:szCs w:val="24"/>
          <w:lang w:val="es-ES"/>
        </w:rPr>
      </w:pPr>
      <w:r>
        <w:rPr>
          <w:rFonts w:cs="Arial"/>
          <w:szCs w:val="24"/>
          <w:lang w:val="es-ES"/>
        </w:rPr>
        <w:t>En la aprobación de créditos debe tenerse la suficiente claridad sobre la moralidad comercial, capacidad de pago, solvencia económica y garantías exigidas, entre otros aspectos, lo cual dará mayor confiabilidad y agilidad en la aprobación.</w:t>
      </w:r>
    </w:p>
    <w:p w14:paraId="08725EF6">
      <w:pPr>
        <w:jc w:val="both"/>
        <w:rPr>
          <w:rFonts w:cs="Arial"/>
          <w:szCs w:val="24"/>
          <w:lang w:val="es-ES"/>
        </w:rPr>
      </w:pPr>
      <w:r>
        <w:rPr>
          <w:rFonts w:cs="Arial"/>
          <w:szCs w:val="24"/>
          <w:lang w:val="es-ES"/>
        </w:rPr>
        <w:t>La vigencia de la aprobación será máximo sesenta (60) días calendario.</w:t>
      </w:r>
    </w:p>
    <w:p w14:paraId="50F9C356">
      <w:pPr>
        <w:jc w:val="both"/>
        <w:rPr>
          <w:rFonts w:cs="Arial"/>
          <w:szCs w:val="24"/>
          <w:lang w:val="es-ES"/>
        </w:rPr>
      </w:pPr>
      <w:r>
        <w:rPr>
          <w:rFonts w:cs="Arial"/>
          <w:szCs w:val="24"/>
          <w:lang w:val="es-ES"/>
        </w:rPr>
        <w:t>Siempre que se efectúen aprobaciones, las operaciones y condiciones de la misma deberán quedar soportadas con un acta de aprobación y registradas en la solicitud de crédito, deberá quedar registro tanto de las aprobaciones como de las negaciones.</w:t>
      </w:r>
    </w:p>
    <w:p w14:paraId="0A9F0E27">
      <w:pPr>
        <w:pStyle w:val="3"/>
      </w:pPr>
      <w:bookmarkStart w:id="167" w:name="_Toc151443646"/>
      <w:bookmarkStart w:id="168" w:name="_Toc182642844"/>
      <w:r>
        <w:t>Criterios De Aprobación O Rechazo</w:t>
      </w:r>
      <w:bookmarkEnd w:id="167"/>
      <w:bookmarkEnd w:id="168"/>
    </w:p>
    <w:p w14:paraId="749CB13C">
      <w:pPr>
        <w:rPr>
          <w:lang w:val="es-ES" w:eastAsia="es-ES" w:bidi="en-US"/>
        </w:rPr>
      </w:pPr>
    </w:p>
    <w:p w14:paraId="06AB0C38">
      <w:pPr>
        <w:rPr>
          <w:b/>
          <w:bCs/>
          <w:lang w:val="es-ES" w:eastAsia="es-ES" w:bidi="en-US"/>
        </w:rPr>
      </w:pPr>
      <w:r>
        <w:rPr>
          <w:b/>
          <w:bCs/>
          <w:lang w:val="es-ES" w:eastAsia="es-ES" w:bidi="en-US"/>
        </w:rPr>
        <w:t>Capacidad de Pago:</w:t>
      </w:r>
    </w:p>
    <w:p w14:paraId="6B006DBF">
      <w:pPr>
        <w:rPr>
          <w:lang w:val="es-ES" w:eastAsia="es-ES" w:bidi="en-US"/>
        </w:rPr>
      </w:pPr>
      <w:r>
        <w:rPr>
          <w:lang w:val="es-ES" w:eastAsia="es-ES" w:bidi="en-US"/>
        </w:rPr>
        <w:t xml:space="preserve">Las solicitudes de crédito serán rechazadas cuando el deudor no posea capacidad de pago, de acuerdo con el criterio y cálculos ya definidos. </w:t>
      </w:r>
    </w:p>
    <w:p w14:paraId="5AC73CD2">
      <w:pPr>
        <w:rPr>
          <w:lang w:val="es-ES" w:eastAsia="es-ES" w:bidi="en-US"/>
        </w:rPr>
      </w:pPr>
      <w:r>
        <w:rPr>
          <w:lang w:val="es-ES" w:eastAsia="es-ES" w:bidi="en-US"/>
        </w:rPr>
        <w:t>Todos los codeudores deberán contar con capacidad de pago de acuerdo con las políticas ya establecidas, a excepción de los casos en que se traten de codeudores garantes.</w:t>
      </w:r>
    </w:p>
    <w:p w14:paraId="692E97E4">
      <w:pPr>
        <w:rPr>
          <w:b/>
          <w:bCs/>
          <w:lang w:val="es-ES" w:eastAsia="es-ES" w:bidi="en-US"/>
        </w:rPr>
      </w:pPr>
      <w:r>
        <w:rPr>
          <w:b/>
          <w:bCs/>
          <w:lang w:val="es-ES" w:eastAsia="es-ES" w:bidi="en-US"/>
        </w:rPr>
        <w:t>Perfil de riesgo del deudor:</w:t>
      </w:r>
    </w:p>
    <w:p w14:paraId="3B860176">
      <w:pPr>
        <w:rPr>
          <w:lang w:val="es-ES" w:eastAsia="es-ES" w:bidi="en-US"/>
        </w:rPr>
      </w:pPr>
      <w:r>
        <w:rPr>
          <w:lang w:val="es-ES" w:eastAsia="es-ES" w:bidi="en-US"/>
        </w:rPr>
        <w:t>Aun cuando el asociado cuente con capacidad de pago la solicitud será rechazada en los siguientes casos:</w:t>
      </w:r>
    </w:p>
    <w:p w14:paraId="1EF2DA78">
      <w:pPr>
        <w:rPr>
          <w:lang w:val="es-ES" w:eastAsia="es-ES" w:bidi="en-US"/>
        </w:rPr>
      </w:pPr>
      <w:r>
        <w:rPr>
          <w:lang w:val="es-ES" w:eastAsia="es-ES" w:bidi="en-US"/>
        </w:rPr>
        <w:t>•</w:t>
      </w:r>
      <w:r>
        <w:rPr>
          <w:lang w:val="es-ES" w:eastAsia="es-ES" w:bidi="en-US"/>
        </w:rPr>
        <w:tab/>
      </w:r>
      <w:r>
        <w:rPr>
          <w:b/>
          <w:bCs/>
          <w:lang w:val="es-ES" w:eastAsia="es-ES" w:bidi="en-US"/>
        </w:rPr>
        <w:t xml:space="preserve">Frente a la Información de las centrales de Riesgo: </w:t>
      </w:r>
      <w:r>
        <w:rPr>
          <w:lang w:val="es-ES" w:eastAsia="es-ES" w:bidi="en-US"/>
        </w:rPr>
        <w:t>Deficiente calificación en el sector financiero del solicitante, malos hábitos de pago de cartera y cartera castigada (evaluando el saldo).</w:t>
      </w:r>
    </w:p>
    <w:p w14:paraId="65B3F5D3">
      <w:pPr>
        <w:rPr>
          <w:lang w:val="es-ES" w:eastAsia="es-ES" w:bidi="en-US"/>
        </w:rPr>
      </w:pPr>
      <w:r>
        <w:rPr>
          <w:lang w:val="es-ES" w:eastAsia="es-ES" w:bidi="en-US"/>
        </w:rPr>
        <w:t>•</w:t>
      </w:r>
      <w:r>
        <w:rPr>
          <w:lang w:val="es-ES" w:eastAsia="es-ES" w:bidi="en-US"/>
        </w:rPr>
        <w:tab/>
      </w:r>
      <w:r>
        <w:rPr>
          <w:b/>
          <w:bCs/>
          <w:lang w:val="es-ES" w:eastAsia="es-ES" w:bidi="en-US"/>
        </w:rPr>
        <w:t>Frente a la situación jurídica</w:t>
      </w:r>
      <w:r>
        <w:rPr>
          <w:lang w:val="es-ES" w:eastAsia="es-ES" w:bidi="en-US"/>
        </w:rPr>
        <w:t>: Cuando presente embargos, procesos judiciales.</w:t>
      </w:r>
    </w:p>
    <w:p w14:paraId="43EA7D63">
      <w:pPr>
        <w:rPr>
          <w:lang w:val="es-ES" w:eastAsia="es-ES" w:bidi="en-US"/>
        </w:rPr>
      </w:pPr>
      <w:r>
        <w:rPr>
          <w:lang w:val="es-ES" w:eastAsia="es-ES" w:bidi="en-US"/>
        </w:rPr>
        <w:t>•</w:t>
      </w:r>
      <w:r>
        <w:rPr>
          <w:lang w:val="es-ES" w:eastAsia="es-ES" w:bidi="en-US"/>
        </w:rPr>
        <w:tab/>
      </w:r>
      <w:r>
        <w:rPr>
          <w:b/>
          <w:bCs/>
          <w:lang w:val="es-ES" w:eastAsia="es-ES" w:bidi="en-US"/>
        </w:rPr>
        <w:t>Frente a la Solvencia:</w:t>
      </w:r>
      <w:r>
        <w:rPr>
          <w:lang w:val="es-ES" w:eastAsia="es-ES" w:bidi="en-US"/>
        </w:rPr>
        <w:t xml:space="preserve"> Incumplimiento de políticas de crédito con la cooperativa.</w:t>
      </w:r>
    </w:p>
    <w:p w14:paraId="15D921B9">
      <w:pPr>
        <w:rPr>
          <w:lang w:val="es-ES" w:eastAsia="es-ES" w:bidi="en-US"/>
        </w:rPr>
      </w:pPr>
      <w:r>
        <w:rPr>
          <w:lang w:val="es-ES" w:eastAsia="es-ES" w:bidi="en-US"/>
        </w:rPr>
        <w:t>•</w:t>
      </w:r>
      <w:r>
        <w:rPr>
          <w:lang w:val="es-ES" w:eastAsia="es-ES" w:bidi="en-US"/>
        </w:rPr>
        <w:tab/>
      </w:r>
      <w:r>
        <w:rPr>
          <w:b/>
          <w:bCs/>
          <w:lang w:val="es-ES" w:eastAsia="es-ES" w:bidi="en-US"/>
        </w:rPr>
        <w:t>Frente al comportamiento de pago con COOPCALLEJONA:</w:t>
      </w:r>
      <w:r>
        <w:rPr>
          <w:lang w:val="es-ES" w:eastAsia="es-ES" w:bidi="en-US"/>
        </w:rPr>
        <w:t xml:space="preserve"> se rechazará si presenta un mal comportamiento con la Cooperativa. </w:t>
      </w:r>
    </w:p>
    <w:p w14:paraId="25170EC7">
      <w:pPr>
        <w:rPr>
          <w:lang w:val="es-ES" w:eastAsia="es-ES" w:bidi="en-US"/>
        </w:rPr>
      </w:pPr>
      <w:r>
        <w:rPr>
          <w:lang w:val="es-ES" w:eastAsia="es-ES" w:bidi="en-US"/>
        </w:rPr>
        <w:t>Así mismo, otros factores que podrán considerarse causales de rechazo, son los siguientes:</w:t>
      </w:r>
    </w:p>
    <w:p w14:paraId="68B2E694">
      <w:pPr>
        <w:pStyle w:val="67"/>
        <w:numPr>
          <w:ilvl w:val="0"/>
          <w:numId w:val="29"/>
        </w:numPr>
        <w:rPr>
          <w:lang w:val="es-ES" w:eastAsia="es-ES" w:bidi="en-US"/>
        </w:rPr>
      </w:pPr>
      <w:r>
        <w:rPr>
          <w:lang w:val="es-ES" w:eastAsia="es-ES" w:bidi="en-US"/>
        </w:rPr>
        <w:t>Inversión de los recursos en actividades en las cuales no cuente con la suficiente experiencia.</w:t>
      </w:r>
    </w:p>
    <w:p w14:paraId="0E76929A">
      <w:pPr>
        <w:pStyle w:val="67"/>
        <w:numPr>
          <w:ilvl w:val="0"/>
          <w:numId w:val="29"/>
        </w:numPr>
        <w:rPr>
          <w:lang w:val="es-ES" w:eastAsia="es-ES" w:bidi="en-US"/>
        </w:rPr>
      </w:pPr>
      <w:r>
        <w:rPr>
          <w:lang w:val="es-ES" w:eastAsia="es-ES" w:bidi="en-US"/>
        </w:rPr>
        <w:t>Inciertas o bajas expectativas de la industria o sector al cual va dirigida la inversión.</w:t>
      </w:r>
    </w:p>
    <w:p w14:paraId="387A9400">
      <w:pPr>
        <w:pStyle w:val="67"/>
        <w:numPr>
          <w:ilvl w:val="0"/>
          <w:numId w:val="29"/>
        </w:numPr>
        <w:rPr>
          <w:lang w:val="es-ES" w:eastAsia="es-ES" w:bidi="en-US"/>
        </w:rPr>
      </w:pPr>
      <w:r>
        <w:rPr>
          <w:lang w:val="es-ES" w:eastAsia="es-ES" w:bidi="en-US"/>
        </w:rPr>
        <w:t>Inconsistencia en los datos suministrados por deudor y codeudores frente a la verificación de datos.</w:t>
      </w:r>
    </w:p>
    <w:p w14:paraId="4F6FEB4C">
      <w:pPr>
        <w:jc w:val="both"/>
        <w:rPr>
          <w:rFonts w:cs="Arial"/>
          <w:szCs w:val="24"/>
          <w:lang w:val="es-ES"/>
        </w:rPr>
      </w:pPr>
      <w:r>
        <w:rPr>
          <w:rFonts w:cs="Arial"/>
          <w:szCs w:val="24"/>
          <w:lang w:val="es-ES"/>
        </w:rPr>
        <w:t>En caso de negación deberá conservarse como evidencia de las causales de la misma en la carpeta del asociado, como mínimo los siguientes documentos:</w:t>
      </w:r>
    </w:p>
    <w:p w14:paraId="13A291E3">
      <w:pPr>
        <w:pStyle w:val="67"/>
        <w:numPr>
          <w:ilvl w:val="0"/>
          <w:numId w:val="40"/>
        </w:numPr>
        <w:jc w:val="both"/>
        <w:rPr>
          <w:rFonts w:cs="Arial"/>
          <w:szCs w:val="24"/>
          <w:lang w:val="es-ES"/>
        </w:rPr>
      </w:pPr>
      <w:r>
        <w:rPr>
          <w:rFonts w:cs="Arial"/>
          <w:szCs w:val="24"/>
          <w:lang w:val="es-ES"/>
        </w:rPr>
        <w:t>Solicitud de Crédito</w:t>
      </w:r>
    </w:p>
    <w:p w14:paraId="5EC36BAF">
      <w:pPr>
        <w:pStyle w:val="67"/>
        <w:numPr>
          <w:ilvl w:val="0"/>
          <w:numId w:val="40"/>
        </w:numPr>
        <w:jc w:val="both"/>
        <w:rPr>
          <w:rFonts w:cs="Arial"/>
          <w:szCs w:val="24"/>
          <w:lang w:val="es-ES"/>
        </w:rPr>
      </w:pPr>
      <w:r>
        <w:rPr>
          <w:rFonts w:cs="Arial"/>
          <w:szCs w:val="24"/>
          <w:lang w:val="es-ES"/>
        </w:rPr>
        <w:t>Estudio de Crédito</w:t>
      </w:r>
    </w:p>
    <w:p w14:paraId="0A06F796">
      <w:pPr>
        <w:pStyle w:val="67"/>
        <w:numPr>
          <w:ilvl w:val="0"/>
          <w:numId w:val="40"/>
        </w:numPr>
        <w:jc w:val="both"/>
        <w:rPr>
          <w:rFonts w:cs="Arial"/>
          <w:szCs w:val="24"/>
          <w:lang w:val="es-ES"/>
        </w:rPr>
      </w:pPr>
      <w:r>
        <w:rPr>
          <w:rFonts w:cs="Arial"/>
          <w:szCs w:val="24"/>
          <w:lang w:val="es-ES"/>
        </w:rPr>
        <w:t>Reporte a las centrales de información.</w:t>
      </w:r>
    </w:p>
    <w:p w14:paraId="79F6B9AA">
      <w:pPr>
        <w:pStyle w:val="3"/>
      </w:pPr>
      <w:bookmarkStart w:id="169" w:name="_Toc269281975"/>
      <w:bookmarkStart w:id="170" w:name="_Toc460118493"/>
      <w:bookmarkStart w:id="171" w:name="_Toc182642845"/>
      <w:bookmarkStart w:id="172" w:name="_Toc151443648"/>
      <w:r>
        <w:t>Solicitud Rechazada</w:t>
      </w:r>
      <w:bookmarkEnd w:id="169"/>
      <w:bookmarkEnd w:id="170"/>
      <w:bookmarkEnd w:id="171"/>
      <w:bookmarkEnd w:id="172"/>
    </w:p>
    <w:p w14:paraId="63ED2158">
      <w:pPr>
        <w:tabs>
          <w:tab w:val="left" w:pos="-720"/>
        </w:tabs>
        <w:suppressAutoHyphens/>
        <w:ind w:left="142"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 xml:space="preserve">Cuando una solicitud de crédito haya sido rechazada por un organismo superior, no es permitido disminuir el monto solicitado con el fin de obtener la aprobación de un nivel inferior, en cuyo caso el organismo que aprobó la nueva solicitud deberá informar por escrito el caso y justificarlo ante el ente que inicialmente lo rechazó, en la reunión siguiente.  Este lo ratificará y deberá archivarse en la carpeta del asociado, dejando constancia en el acta respectiva. Cualquier excepción de esta norma solamente podrá ser autorizada por el organismo que inicialmente negó la solicitud. </w:t>
      </w:r>
    </w:p>
    <w:p w14:paraId="1B252109">
      <w:pPr>
        <w:pStyle w:val="3"/>
      </w:pPr>
      <w:bookmarkStart w:id="173" w:name="_Toc182642846"/>
      <w:bookmarkStart w:id="174" w:name="_Toc269281976"/>
      <w:bookmarkStart w:id="175" w:name="_Toc460118494"/>
      <w:bookmarkStart w:id="176" w:name="_Toc151443649"/>
      <w:r>
        <w:t>Decisiones Adoptadas</w:t>
      </w:r>
      <w:bookmarkEnd w:id="173"/>
      <w:bookmarkEnd w:id="174"/>
      <w:bookmarkEnd w:id="175"/>
      <w:bookmarkEnd w:id="176"/>
    </w:p>
    <w:p w14:paraId="7A71179B">
      <w:pPr>
        <w:tabs>
          <w:tab w:val="left" w:pos="-720"/>
        </w:tabs>
        <w:suppressAutoHyphens/>
        <w:ind w:left="142"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 xml:space="preserve">Todas las decisiones adoptadas o recomendaciones propuestas por organismos colegiados deberán quedar consignadas en actas que se levantarán en cada sesión y deberán ser firmadas por los miembros que participaron, al igual que en el espacio reservado para tal fin en la respectiva solicitud. </w:t>
      </w:r>
    </w:p>
    <w:p w14:paraId="5FA37E22">
      <w:pPr>
        <w:tabs>
          <w:tab w:val="left" w:pos="-720"/>
        </w:tabs>
        <w:suppressAutoHyphens/>
        <w:ind w:left="142"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Las actas que registren las decisiones se realizarán de acuerdo con el Organismo de Decisión Respectivo a saber:</w:t>
      </w:r>
    </w:p>
    <w:p w14:paraId="1E2ABCB0">
      <w:pPr>
        <w:tabs>
          <w:tab w:val="left" w:pos="-720"/>
        </w:tabs>
        <w:suppressAutoHyphens/>
        <w:ind w:left="142" w:right="49"/>
        <w:jc w:val="both"/>
        <w:rPr>
          <w:rFonts w:cs="Arial"/>
          <w:b/>
          <w:bCs/>
          <w:color w:val="000000" w:themeColor="text1"/>
          <w:szCs w:val="24"/>
          <w14:textFill>
            <w14:solidFill>
              <w14:schemeClr w14:val="tx1"/>
            </w14:solidFill>
          </w14:textFill>
        </w:rPr>
      </w:pPr>
      <w:r>
        <w:rPr>
          <w:rFonts w:cs="Arial"/>
          <w:b/>
          <w:bCs/>
          <w:color w:val="000000" w:themeColor="text1"/>
          <w:szCs w:val="24"/>
          <w14:textFill>
            <w14:solidFill>
              <w14:schemeClr w14:val="tx1"/>
            </w14:solidFill>
          </w14:textFill>
        </w:rPr>
        <w:t>Comité de Crédito</w:t>
      </w:r>
    </w:p>
    <w:p w14:paraId="689579B6">
      <w:pPr>
        <w:tabs>
          <w:tab w:val="left" w:pos="-720"/>
        </w:tabs>
        <w:suppressAutoHyphens/>
        <w:ind w:left="142"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Cada vez que se realice una reunión de Comité de, se generará un acta de aprobación. Dicha acta incluirá los créditos aprobados en la respectiva reunión, de acuerdo al reporte que le generará el Sistema y deberá ser firmada únicamente por los asistentes al Comité.</w:t>
      </w:r>
    </w:p>
    <w:p w14:paraId="496B29C9">
      <w:pPr>
        <w:ind w:left="142" w:right="49"/>
        <w:jc w:val="both"/>
        <w:rPr>
          <w:rFonts w:cs="Arial"/>
          <w:b/>
          <w:bCs/>
          <w:color w:val="000000" w:themeColor="text1"/>
          <w:szCs w:val="24"/>
          <w14:textFill>
            <w14:solidFill>
              <w14:schemeClr w14:val="tx1"/>
            </w14:solidFill>
          </w14:textFill>
        </w:rPr>
      </w:pPr>
      <w:r>
        <w:rPr>
          <w:rFonts w:cs="Arial"/>
          <w:b/>
          <w:bCs/>
          <w:color w:val="000000" w:themeColor="text1"/>
          <w:szCs w:val="24"/>
          <w14:textFill>
            <w14:solidFill>
              <w14:schemeClr w14:val="tx1"/>
            </w14:solidFill>
          </w14:textFill>
        </w:rPr>
        <w:t>Consejo de Administración</w:t>
      </w:r>
    </w:p>
    <w:p w14:paraId="2F2EE8B9">
      <w:pPr>
        <w:tabs>
          <w:tab w:val="left" w:pos="-720"/>
        </w:tabs>
        <w:suppressAutoHyphens/>
        <w:ind w:left="142"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Los créditos aprobados en cada reunión del Consejo de Administración harán parte integral del acta en la cual se soportan las Decisiones tomadas por dicho organismo de Decisión.</w:t>
      </w:r>
      <w:bookmarkStart w:id="177" w:name="_Toc460118495"/>
    </w:p>
    <w:p w14:paraId="35A2DFD8">
      <w:pPr>
        <w:pStyle w:val="3"/>
      </w:pPr>
      <w:bookmarkStart w:id="178" w:name="_Toc269281977"/>
      <w:bookmarkStart w:id="179" w:name="_Toc151443650"/>
      <w:bookmarkStart w:id="180" w:name="_Toc182642847"/>
      <w:r>
        <w:t xml:space="preserve">Renovación De </w:t>
      </w:r>
      <w:bookmarkEnd w:id="177"/>
      <w:bookmarkEnd w:id="178"/>
      <w:r>
        <w:t>Créditos</w:t>
      </w:r>
      <w:bookmarkEnd w:id="179"/>
      <w:bookmarkEnd w:id="180"/>
    </w:p>
    <w:p w14:paraId="68836316">
      <w:pPr>
        <w:jc w:val="both"/>
        <w:rPr>
          <w:lang w:val="es-ES" w:eastAsia="es-ES" w:bidi="en-US"/>
        </w:rPr>
      </w:pPr>
      <w:r>
        <w:rPr>
          <w:lang w:val="es-ES" w:eastAsia="es-ES" w:bidi="en-US"/>
        </w:rPr>
        <w:t>La renovación de un crédito, consiste en aprobar un crédito adicional al otorgado inicialmente a un asociado, luego de haber cancelado mínimo el 20% del crédito inicial y con el nuevo crédito poder recoger el saldo existente del crédito original.</w:t>
      </w:r>
    </w:p>
    <w:p w14:paraId="44BEC6E9">
      <w:pPr>
        <w:pStyle w:val="67"/>
        <w:numPr>
          <w:ilvl w:val="0"/>
          <w:numId w:val="41"/>
        </w:numPr>
        <w:jc w:val="both"/>
        <w:rPr>
          <w:lang w:val="es-ES" w:eastAsia="es-ES" w:bidi="en-US"/>
        </w:rPr>
      </w:pPr>
      <w:r>
        <w:rPr>
          <w:lang w:val="es-ES" w:eastAsia="es-ES" w:bidi="en-US"/>
        </w:rPr>
        <w:t>Extensiones de plazo o disminuciones de Tasa</w:t>
      </w:r>
    </w:p>
    <w:p w14:paraId="65E1A43F">
      <w:pPr>
        <w:jc w:val="both"/>
        <w:rPr>
          <w:lang w:val="es-ES" w:eastAsia="es-ES" w:bidi="en-US"/>
        </w:rPr>
      </w:pPr>
      <w:r>
        <w:rPr>
          <w:lang w:val="es-ES" w:eastAsia="es-ES" w:bidi="en-US"/>
        </w:rPr>
        <w:t>Las “Extensiones de plazo o disminuciones de tasa” motivadas exclusivamente como estrategia de retención de clientes (no por dificultades en el pago) no se consideran reestructuraciones, y deben ser aprobadas previamente por la Gerencia e informadas al Consejo de Administración.</w:t>
      </w:r>
    </w:p>
    <w:p w14:paraId="7EC39993">
      <w:pPr>
        <w:jc w:val="both"/>
        <w:rPr>
          <w:lang w:val="es-ES" w:eastAsia="es-ES" w:bidi="en-US"/>
        </w:rPr>
      </w:pPr>
      <w:r>
        <w:rPr>
          <w:lang w:val="es-ES" w:eastAsia="es-ES" w:bidi="en-US"/>
        </w:rPr>
        <w:t>Estas operaciones deberán cumplir las siguientes condiciones:</w:t>
      </w:r>
    </w:p>
    <w:p w14:paraId="30E79902">
      <w:pPr>
        <w:pStyle w:val="67"/>
        <w:numPr>
          <w:ilvl w:val="0"/>
          <w:numId w:val="29"/>
        </w:numPr>
        <w:jc w:val="both"/>
        <w:rPr>
          <w:lang w:val="es-ES" w:eastAsia="es-ES" w:bidi="en-US"/>
        </w:rPr>
      </w:pPr>
      <w:r>
        <w:rPr>
          <w:lang w:val="es-ES" w:eastAsia="es-ES" w:bidi="en-US"/>
        </w:rPr>
        <w:t>Haber cancelado mínimo el 50% del crédito.</w:t>
      </w:r>
    </w:p>
    <w:p w14:paraId="3FE5BE43">
      <w:pPr>
        <w:pStyle w:val="67"/>
        <w:numPr>
          <w:ilvl w:val="0"/>
          <w:numId w:val="29"/>
        </w:numPr>
        <w:jc w:val="both"/>
        <w:rPr>
          <w:lang w:val="es-ES" w:eastAsia="es-ES" w:bidi="en-US"/>
        </w:rPr>
      </w:pPr>
      <w:r>
        <w:rPr>
          <w:lang w:val="es-ES" w:eastAsia="es-ES" w:bidi="en-US"/>
        </w:rPr>
        <w:t>Altura máxima de mora de 15 días en los últimos 12 meses.</w:t>
      </w:r>
    </w:p>
    <w:p w14:paraId="6BC0F6B1">
      <w:pPr>
        <w:pStyle w:val="67"/>
        <w:numPr>
          <w:ilvl w:val="0"/>
          <w:numId w:val="29"/>
        </w:numPr>
        <w:jc w:val="both"/>
        <w:rPr>
          <w:lang w:val="es-ES" w:eastAsia="es-ES" w:bidi="en-US"/>
        </w:rPr>
      </w:pPr>
      <w:r>
        <w:rPr>
          <w:lang w:val="es-ES" w:eastAsia="es-ES" w:bidi="en-US"/>
        </w:rPr>
        <w:t>Cero días de mora en el momento del ajuste.</w:t>
      </w:r>
    </w:p>
    <w:p w14:paraId="64C4C2C9">
      <w:pPr>
        <w:pStyle w:val="67"/>
        <w:numPr>
          <w:ilvl w:val="0"/>
          <w:numId w:val="29"/>
        </w:numPr>
        <w:jc w:val="both"/>
        <w:rPr>
          <w:lang w:val="es-ES" w:eastAsia="es-ES" w:bidi="en-US"/>
        </w:rPr>
      </w:pPr>
      <w:r>
        <w:rPr>
          <w:lang w:val="es-ES" w:eastAsia="es-ES" w:bidi="en-US"/>
        </w:rPr>
        <w:t>El plazo se podrá ampliar en máximo 12 meses posteriores a la fecha de vencimiento del crédito otorgado. Ej. Si la fecha de vencimiento es 30/01/2016, el plazo se podrá extender hasta el 30/01/2017.</w:t>
      </w:r>
    </w:p>
    <w:p w14:paraId="6B7174CE">
      <w:pPr>
        <w:pStyle w:val="67"/>
        <w:numPr>
          <w:ilvl w:val="0"/>
          <w:numId w:val="29"/>
        </w:numPr>
        <w:jc w:val="both"/>
        <w:rPr>
          <w:lang w:val="es-ES" w:eastAsia="es-ES" w:bidi="en-US"/>
        </w:rPr>
      </w:pPr>
      <w:r>
        <w:rPr>
          <w:lang w:val="es-ES" w:eastAsia="es-ES" w:bidi="en-US"/>
        </w:rPr>
        <w:t>Cuando se requieran modificaciones en la tasa, estas deberán ser en el mismo tipo de tasa (variable o fija), según se haya otorgado el crédito.</w:t>
      </w:r>
    </w:p>
    <w:p w14:paraId="7A9AF03A">
      <w:pPr>
        <w:pStyle w:val="67"/>
        <w:numPr>
          <w:ilvl w:val="0"/>
          <w:numId w:val="29"/>
        </w:numPr>
        <w:jc w:val="both"/>
        <w:rPr>
          <w:lang w:val="es-ES" w:eastAsia="es-ES" w:bidi="en-US"/>
        </w:rPr>
      </w:pPr>
      <w:r>
        <w:rPr>
          <w:lang w:val="es-ES" w:eastAsia="es-ES" w:bidi="en-US"/>
        </w:rPr>
        <w:t>La amortización a capital e intereses será la misma pactada en el otorgamiento, al igual que el tipo de cuota (variable o fija).</w:t>
      </w:r>
    </w:p>
    <w:p w14:paraId="24FEE8C4">
      <w:pPr>
        <w:pStyle w:val="67"/>
        <w:numPr>
          <w:ilvl w:val="0"/>
          <w:numId w:val="29"/>
        </w:numPr>
        <w:jc w:val="both"/>
        <w:rPr>
          <w:lang w:val="es-ES" w:eastAsia="es-ES" w:bidi="en-US"/>
        </w:rPr>
      </w:pPr>
      <w:r>
        <w:rPr>
          <w:lang w:val="es-ES" w:eastAsia="es-ES" w:bidi="en-US"/>
        </w:rPr>
        <w:t>Se debe firmar el Otro-si, por parte del Deudor y codeudores.</w:t>
      </w:r>
    </w:p>
    <w:p w14:paraId="62347F3E">
      <w:pPr>
        <w:pStyle w:val="67"/>
        <w:numPr>
          <w:ilvl w:val="0"/>
          <w:numId w:val="29"/>
        </w:numPr>
        <w:jc w:val="both"/>
        <w:rPr>
          <w:lang w:val="es-ES" w:eastAsia="es-ES" w:bidi="en-US"/>
        </w:rPr>
      </w:pPr>
      <w:r>
        <w:rPr>
          <w:lang w:val="es-ES" w:eastAsia="es-ES" w:bidi="en-US"/>
        </w:rPr>
        <w:t>La tasa se podrá reducir de acuerdo a las tasas vigentes y atribuciones de la Gerencia.</w:t>
      </w:r>
    </w:p>
    <w:p w14:paraId="5BEE1022">
      <w:pPr>
        <w:pStyle w:val="67"/>
        <w:numPr>
          <w:ilvl w:val="0"/>
          <w:numId w:val="29"/>
        </w:numPr>
        <w:jc w:val="both"/>
        <w:rPr>
          <w:lang w:val="es-ES" w:eastAsia="es-ES" w:bidi="en-US"/>
        </w:rPr>
      </w:pPr>
      <w:r>
        <w:rPr>
          <w:lang w:val="es-ES" w:eastAsia="es-ES" w:bidi="en-US"/>
        </w:rPr>
        <w:t>Esta estrategia solo se podrá realizar una sola vez en el crédito y no se podrá realizar a créditos reestructurados o con prorrogas en el pago de cuotas.</w:t>
      </w:r>
    </w:p>
    <w:p w14:paraId="400854DE">
      <w:pPr>
        <w:jc w:val="both"/>
        <w:rPr>
          <w:lang w:val="es-ES" w:eastAsia="es-ES" w:bidi="en-US"/>
        </w:rPr>
      </w:pPr>
      <w:r>
        <w:rPr>
          <w:lang w:val="es-ES" w:eastAsia="es-ES" w:bidi="en-US"/>
        </w:rPr>
        <w:t>La verificación del cumplimiento de las condiciones es responsabilidad de la Gerencia y el soporte del proceso será el Formato de Extensión de Plazo o Modificación de Tasa F-CRE-08</w:t>
      </w:r>
    </w:p>
    <w:p w14:paraId="7651F463">
      <w:pPr>
        <w:pStyle w:val="3"/>
      </w:pPr>
      <w:bookmarkStart w:id="181" w:name="_Toc269281978"/>
      <w:r>
        <w:t xml:space="preserve">  </w:t>
      </w:r>
      <w:bookmarkStart w:id="182" w:name="_Toc182642848"/>
      <w:bookmarkStart w:id="183" w:name="_Toc151443651"/>
      <w:r>
        <w:t>Comunicación</w:t>
      </w:r>
      <w:bookmarkEnd w:id="181"/>
      <w:bookmarkEnd w:id="182"/>
      <w:bookmarkEnd w:id="183"/>
    </w:p>
    <w:p w14:paraId="22593900">
      <w:pPr>
        <w:tabs>
          <w:tab w:val="left" w:pos="-720"/>
        </w:tabs>
        <w:suppressAutoHyphens/>
        <w:ind w:left="142"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Corresponde al asesor comunicarle al asociado, la decisión de los organismos de decisión tan pronto como sean notificados.</w:t>
      </w:r>
    </w:p>
    <w:p w14:paraId="2D4478DA">
      <w:pPr>
        <w:tabs>
          <w:tab w:val="left" w:pos="-720"/>
        </w:tabs>
        <w:suppressAutoHyphens/>
        <w:ind w:left="142" w:right="49"/>
        <w:jc w:val="both"/>
        <w:rPr>
          <w:rFonts w:cs="Arial"/>
          <w:color w:val="000000" w:themeColor="text1"/>
          <w:spacing w:val="-3"/>
          <w:szCs w:val="24"/>
          <w14:textFill>
            <w14:solidFill>
              <w14:schemeClr w14:val="tx1"/>
            </w14:solidFill>
          </w14:textFill>
        </w:rPr>
      </w:pPr>
    </w:p>
    <w:p w14:paraId="58C45591">
      <w:pPr>
        <w:tabs>
          <w:tab w:val="left" w:pos="-720"/>
        </w:tabs>
        <w:suppressAutoHyphens/>
        <w:ind w:left="142" w:right="49"/>
        <w:jc w:val="both"/>
        <w:rPr>
          <w:rFonts w:cs="Arial"/>
          <w:color w:val="000000" w:themeColor="text1"/>
          <w:spacing w:val="-3"/>
          <w:szCs w:val="24"/>
          <w14:textFill>
            <w14:solidFill>
              <w14:schemeClr w14:val="tx1"/>
            </w14:solidFill>
          </w14:textFill>
        </w:rPr>
      </w:pPr>
    </w:p>
    <w:p w14:paraId="2817600F">
      <w:pPr>
        <w:tabs>
          <w:tab w:val="left" w:pos="-720"/>
        </w:tabs>
        <w:suppressAutoHyphens/>
        <w:ind w:left="142" w:right="49"/>
        <w:jc w:val="both"/>
        <w:rPr>
          <w:rFonts w:cs="Arial"/>
          <w:color w:val="000000" w:themeColor="text1"/>
          <w:spacing w:val="-3"/>
          <w:szCs w:val="24"/>
          <w14:textFill>
            <w14:solidFill>
              <w14:schemeClr w14:val="tx1"/>
            </w14:solidFill>
          </w14:textFill>
        </w:rPr>
      </w:pPr>
    </w:p>
    <w:p w14:paraId="06A47EAA">
      <w:pPr>
        <w:tabs>
          <w:tab w:val="left" w:pos="-720"/>
        </w:tabs>
        <w:suppressAutoHyphens/>
        <w:ind w:left="142" w:right="49"/>
        <w:jc w:val="both"/>
        <w:rPr>
          <w:rFonts w:cs="Arial"/>
          <w:color w:val="000000" w:themeColor="text1"/>
          <w:spacing w:val="-3"/>
          <w:szCs w:val="24"/>
          <w14:textFill>
            <w14:solidFill>
              <w14:schemeClr w14:val="tx1"/>
            </w14:solidFill>
          </w14:textFill>
        </w:rPr>
      </w:pPr>
    </w:p>
    <w:p w14:paraId="4F9DB623">
      <w:pPr>
        <w:tabs>
          <w:tab w:val="left" w:pos="-720"/>
        </w:tabs>
        <w:suppressAutoHyphens/>
        <w:ind w:left="142" w:right="49"/>
        <w:jc w:val="both"/>
        <w:rPr>
          <w:rFonts w:cs="Arial"/>
          <w:color w:val="000000" w:themeColor="text1"/>
          <w:spacing w:val="-3"/>
          <w:szCs w:val="24"/>
          <w14:textFill>
            <w14:solidFill>
              <w14:schemeClr w14:val="tx1"/>
            </w14:solidFill>
          </w14:textFill>
        </w:rPr>
      </w:pPr>
    </w:p>
    <w:p w14:paraId="5D3A2E76">
      <w:pPr>
        <w:tabs>
          <w:tab w:val="left" w:pos="-720"/>
        </w:tabs>
        <w:suppressAutoHyphens/>
        <w:ind w:left="142" w:right="49"/>
        <w:jc w:val="both"/>
        <w:rPr>
          <w:rFonts w:cs="Arial"/>
          <w:color w:val="000000" w:themeColor="text1"/>
          <w:spacing w:val="-3"/>
          <w:szCs w:val="24"/>
          <w14:textFill>
            <w14:solidFill>
              <w14:schemeClr w14:val="tx1"/>
            </w14:solidFill>
          </w14:textFill>
        </w:rPr>
      </w:pPr>
    </w:p>
    <w:p w14:paraId="7A0749E6">
      <w:pPr>
        <w:tabs>
          <w:tab w:val="left" w:pos="-720"/>
        </w:tabs>
        <w:suppressAutoHyphens/>
        <w:ind w:left="142" w:right="49"/>
        <w:jc w:val="both"/>
        <w:rPr>
          <w:rFonts w:cs="Arial"/>
          <w:color w:val="000000" w:themeColor="text1"/>
          <w:spacing w:val="-3"/>
          <w:szCs w:val="24"/>
          <w14:textFill>
            <w14:solidFill>
              <w14:schemeClr w14:val="tx1"/>
            </w14:solidFill>
          </w14:textFill>
        </w:rPr>
      </w:pPr>
    </w:p>
    <w:p w14:paraId="2FB22496">
      <w:pPr>
        <w:tabs>
          <w:tab w:val="left" w:pos="-720"/>
        </w:tabs>
        <w:suppressAutoHyphens/>
        <w:ind w:left="142" w:right="49"/>
        <w:jc w:val="both"/>
        <w:rPr>
          <w:rFonts w:cs="Arial"/>
          <w:color w:val="000000" w:themeColor="text1"/>
          <w:spacing w:val="-3"/>
          <w:szCs w:val="24"/>
          <w14:textFill>
            <w14:solidFill>
              <w14:schemeClr w14:val="tx1"/>
            </w14:solidFill>
          </w14:textFill>
        </w:rPr>
      </w:pPr>
    </w:p>
    <w:p w14:paraId="05FC5788">
      <w:pPr>
        <w:tabs>
          <w:tab w:val="left" w:pos="-720"/>
        </w:tabs>
        <w:suppressAutoHyphens/>
        <w:ind w:left="142" w:right="49"/>
        <w:jc w:val="both"/>
        <w:rPr>
          <w:rFonts w:cs="Arial"/>
          <w:color w:val="000000" w:themeColor="text1"/>
          <w:spacing w:val="-3"/>
          <w:szCs w:val="24"/>
          <w14:textFill>
            <w14:solidFill>
              <w14:schemeClr w14:val="tx1"/>
            </w14:solidFill>
          </w14:textFill>
        </w:rPr>
      </w:pPr>
    </w:p>
    <w:p w14:paraId="49B6C98E">
      <w:pPr>
        <w:tabs>
          <w:tab w:val="left" w:pos="-720"/>
        </w:tabs>
        <w:suppressAutoHyphens/>
        <w:ind w:left="142" w:right="49"/>
        <w:jc w:val="both"/>
        <w:rPr>
          <w:rFonts w:cs="Arial"/>
          <w:color w:val="000000" w:themeColor="text1"/>
          <w:spacing w:val="-3"/>
          <w:szCs w:val="24"/>
          <w14:textFill>
            <w14:solidFill>
              <w14:schemeClr w14:val="tx1"/>
            </w14:solidFill>
          </w14:textFill>
        </w:rPr>
      </w:pPr>
    </w:p>
    <w:p w14:paraId="518E528E">
      <w:pPr>
        <w:tabs>
          <w:tab w:val="left" w:pos="-720"/>
        </w:tabs>
        <w:suppressAutoHyphens/>
        <w:ind w:left="142" w:right="49"/>
        <w:jc w:val="both"/>
        <w:rPr>
          <w:rFonts w:cs="Arial"/>
          <w:color w:val="000000" w:themeColor="text1"/>
          <w:spacing w:val="-3"/>
          <w:szCs w:val="24"/>
          <w14:textFill>
            <w14:solidFill>
              <w14:schemeClr w14:val="tx1"/>
            </w14:solidFill>
          </w14:textFill>
        </w:rPr>
      </w:pPr>
    </w:p>
    <w:p w14:paraId="1B4B104C">
      <w:pPr>
        <w:tabs>
          <w:tab w:val="left" w:pos="-720"/>
        </w:tabs>
        <w:suppressAutoHyphens/>
        <w:ind w:right="49"/>
        <w:jc w:val="both"/>
        <w:rPr>
          <w:rFonts w:cs="Arial"/>
          <w:color w:val="000000" w:themeColor="text1"/>
          <w:spacing w:val="-3"/>
          <w:szCs w:val="24"/>
          <w14:textFill>
            <w14:solidFill>
              <w14:schemeClr w14:val="tx1"/>
            </w14:solidFill>
          </w14:textFill>
        </w:rPr>
      </w:pPr>
    </w:p>
    <w:p w14:paraId="0CFCC41A">
      <w:pPr>
        <w:pStyle w:val="2"/>
      </w:pPr>
      <w:bookmarkStart w:id="184" w:name="_Toc182642849"/>
      <w:bookmarkStart w:id="185" w:name="_Toc151443652"/>
      <w:r>
        <w:t>POLÍTICAS PARA EL MANEJO DE GARANTÍAS</w:t>
      </w:r>
      <w:bookmarkEnd w:id="184"/>
      <w:bookmarkEnd w:id="185"/>
    </w:p>
    <w:p w14:paraId="32B183BC"/>
    <w:p w14:paraId="2A770C0F">
      <w:pPr>
        <w:tabs>
          <w:tab w:val="left" w:pos="-720"/>
        </w:tabs>
        <w:suppressAutoHyphens/>
        <w:ind w:left="142"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Una garantía se describe como el acto o negocio jurídico que tiene por objeto asegurar el retorno de los recursos de una obligación, en el evento en el que el asociado deudor no cumpla con el compromiso de pago de su deuda, procurando obtener el cubrimiento de la misma con cargo al patrimonio general o bienes específicos del deudor o del deudor solidario que ha aceptado esta condición.</w:t>
      </w:r>
    </w:p>
    <w:p w14:paraId="58A4D756">
      <w:pPr>
        <w:tabs>
          <w:tab w:val="left" w:pos="-720"/>
        </w:tabs>
        <w:suppressAutoHyphens/>
        <w:ind w:left="142"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En aras de mayor efectividad de la garantía debe existir un previo y completo análisis jurídico y comercial de esta, una debida constitución y perfeccionamiento de la misma, así como un seguimiento su estado.</w:t>
      </w:r>
    </w:p>
    <w:p w14:paraId="4F41E56E">
      <w:pPr>
        <w:tabs>
          <w:tab w:val="left" w:pos="-720"/>
        </w:tabs>
        <w:suppressAutoHyphens/>
        <w:ind w:left="142"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Las políticas de garantías aquí establecidas aplican de manera general en cualquier garantía utilizada en la Cooperativa. La decisión sobre la garantía a exigir de acuerdo con la línea de crédito que se otorgue es competencia exclusiva del estamento que aprueba el crédito.</w:t>
      </w:r>
    </w:p>
    <w:p w14:paraId="7C4D0CF8">
      <w:pPr>
        <w:pStyle w:val="3"/>
      </w:pPr>
      <w:bookmarkStart w:id="186" w:name="_Toc182642850"/>
      <w:bookmarkStart w:id="187" w:name="_Toc151443653"/>
      <w:r>
        <w:t>Clases de Garantías</w:t>
      </w:r>
      <w:bookmarkEnd w:id="186"/>
      <w:bookmarkEnd w:id="187"/>
    </w:p>
    <w:p w14:paraId="32F77969">
      <w:pPr>
        <w:ind w:left="142" w:right="49"/>
        <w:jc w:val="both"/>
        <w:rPr>
          <w:rFonts w:cs="Arial"/>
          <w:color w:val="000000" w:themeColor="text1"/>
          <w:szCs w:val="24"/>
          <w:lang w:val="es-ES" w:eastAsia="es-ES" w:bidi="en-US"/>
          <w14:textFill>
            <w14:solidFill>
              <w14:schemeClr w14:val="tx1"/>
            </w14:solidFill>
          </w14:textFill>
        </w:rPr>
      </w:pPr>
    </w:p>
    <w:p w14:paraId="5AF97999">
      <w:pPr>
        <w:pStyle w:val="4"/>
      </w:pPr>
      <w:bookmarkStart w:id="188" w:name="_Toc151443654"/>
      <w:bookmarkStart w:id="189" w:name="_Toc182642851"/>
      <w:r>
        <w:t>10.1.1 Garantía Personal:</w:t>
      </w:r>
      <w:bookmarkEnd w:id="188"/>
      <w:bookmarkEnd w:id="189"/>
      <w:r>
        <w:t xml:space="preserve"> </w:t>
      </w:r>
    </w:p>
    <w:p w14:paraId="4E24FEBA">
      <w:pPr>
        <w:tabs>
          <w:tab w:val="left" w:pos="-720"/>
        </w:tabs>
        <w:suppressAutoHyphens/>
        <w:ind w:left="142" w:right="49"/>
        <w:jc w:val="both"/>
        <w:rPr>
          <w:rFonts w:cs="Arial"/>
          <w:color w:val="000000" w:themeColor="text1"/>
          <w:spacing w:val="-3"/>
          <w:szCs w:val="24"/>
          <w14:textFill>
            <w14:solidFill>
              <w14:schemeClr w14:val="tx1"/>
            </w14:solidFill>
          </w14:textFill>
        </w:rPr>
      </w:pPr>
    </w:p>
    <w:p w14:paraId="691982A7">
      <w:pPr>
        <w:tabs>
          <w:tab w:val="left" w:pos="-720"/>
        </w:tabs>
        <w:suppressAutoHyphens/>
        <w:ind w:left="142"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Es aquella garantía en que el cumplimiento de una obligación se encuentra garantizado con el patrimonio del deudor y deudor solidario.</w:t>
      </w:r>
    </w:p>
    <w:p w14:paraId="752599B5">
      <w:pPr>
        <w:pStyle w:val="67"/>
        <w:numPr>
          <w:ilvl w:val="0"/>
          <w:numId w:val="42"/>
        </w:numPr>
        <w:tabs>
          <w:tab w:val="left" w:pos="-720"/>
        </w:tabs>
        <w:suppressAutoHyphens/>
        <w:ind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Cuando se dice patrimonio se considera que el mismo lo conforman el conjunto de bienes que tiene o puede llegar a tener el deudor y deudor solidario. El asociado deudor y deudor solidario adquiere con la Cooperativa el compromiso de pagar una obligación de crédito, la cual en caso de no ser cumplida permite a la Cooperativa exigir su pago mediante un proceso judicial que se dirige contra el deudor y deudores solidarios y que busca garantizar su resultado en cualquiera de los bienes o derechos de este.</w:t>
      </w:r>
    </w:p>
    <w:p w14:paraId="3F7BCA4D">
      <w:pPr>
        <w:pStyle w:val="67"/>
        <w:numPr>
          <w:ilvl w:val="0"/>
          <w:numId w:val="42"/>
        </w:numPr>
        <w:tabs>
          <w:tab w:val="left" w:pos="-720"/>
        </w:tabs>
        <w:suppressAutoHyphens/>
        <w:ind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El pagaré en el que consta la obligación permite a la Cooperativa contar con un título ejecutivo que lo faculta para iniciar un proceso en caso de incumplimiento de la obligación.</w:t>
      </w:r>
    </w:p>
    <w:p w14:paraId="05D0D9EF">
      <w:pPr>
        <w:pStyle w:val="67"/>
        <w:numPr>
          <w:ilvl w:val="0"/>
          <w:numId w:val="42"/>
        </w:numPr>
        <w:tabs>
          <w:tab w:val="left" w:pos="-720"/>
        </w:tabs>
        <w:suppressAutoHyphens/>
        <w:ind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Es importante aclarar que en este caso la garantía no es el pagaré sino el patrimonio del asociado deudor, el pagare es el instrumento jurídico que faculta la prueba y cobro del crédito.</w:t>
      </w:r>
    </w:p>
    <w:p w14:paraId="5834C87F">
      <w:pPr>
        <w:pStyle w:val="67"/>
        <w:numPr>
          <w:ilvl w:val="0"/>
          <w:numId w:val="42"/>
        </w:numPr>
        <w:tabs>
          <w:tab w:val="left" w:pos="-720"/>
        </w:tabs>
        <w:suppressAutoHyphens/>
        <w:ind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Las garantías personales para la Cooperativa se dan por la firma del deudor y deudor solidario(codeudor) en el pagare que respalda la obligación.</w:t>
      </w:r>
    </w:p>
    <w:p w14:paraId="238ADEE1">
      <w:pPr>
        <w:tabs>
          <w:tab w:val="left" w:pos="-720"/>
        </w:tabs>
        <w:suppressAutoHyphens/>
        <w:ind w:left="142"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Para establecer la viabilidad de que una persona sea o no codeudora se deberá tener en cuenta, además:</w:t>
      </w:r>
    </w:p>
    <w:p w14:paraId="219531E3">
      <w:pPr>
        <w:pStyle w:val="67"/>
        <w:numPr>
          <w:ilvl w:val="0"/>
          <w:numId w:val="43"/>
        </w:numPr>
        <w:tabs>
          <w:tab w:val="left" w:pos="-720"/>
        </w:tabs>
        <w:suppressAutoHyphens/>
        <w:ind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Si el codeudor ya es codeudor de otra obligación, los créditos en los que aparezca como codeudor deberán estar al día y la suma de todos ellos no debe ser superior al monto mínimo de endeudamiento individual, la suma de deudas directas o indirectas acumuladas en un mismo deudor solidario respaldadas con garantía personal, no podrá exceder el monto autorizado con este tipo de garantía.</w:t>
      </w:r>
    </w:p>
    <w:p w14:paraId="73A78443">
      <w:pPr>
        <w:pStyle w:val="67"/>
        <w:numPr>
          <w:ilvl w:val="0"/>
          <w:numId w:val="43"/>
        </w:numPr>
        <w:tabs>
          <w:tab w:val="left" w:pos="-720"/>
        </w:tabs>
        <w:suppressAutoHyphens/>
        <w:ind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Se pueden aceptar como garantía personal, además de los asalariados, las personas que acrediten una pensión y que sean asociados de la cooperativa.</w:t>
      </w:r>
    </w:p>
    <w:p w14:paraId="7C8A0462">
      <w:pPr>
        <w:pStyle w:val="67"/>
        <w:numPr>
          <w:ilvl w:val="0"/>
          <w:numId w:val="43"/>
        </w:numPr>
        <w:tabs>
          <w:tab w:val="left" w:pos="-720"/>
        </w:tabs>
        <w:suppressAutoHyphens/>
        <w:ind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Si el deudor presenta garantía con bien raíz o es solvente por salario, la exigencia de codeudores será manejable por parte del ente aprobador, teniendo pendiente el análisis de crédito el cual puede arrojar las exigencias mínimas para presentar los codeudores.</w:t>
      </w:r>
    </w:p>
    <w:p w14:paraId="55D72228">
      <w:pPr>
        <w:pStyle w:val="67"/>
        <w:numPr>
          <w:ilvl w:val="0"/>
          <w:numId w:val="43"/>
        </w:numPr>
        <w:tabs>
          <w:tab w:val="left" w:pos="-720"/>
        </w:tabs>
        <w:suppressAutoHyphens/>
        <w:ind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Los codeudores serán sujetos del mismo análisis de capacidad de pago efectuado al codeudor.</w:t>
      </w:r>
    </w:p>
    <w:p w14:paraId="39462A6E">
      <w:pPr>
        <w:pStyle w:val="67"/>
        <w:numPr>
          <w:ilvl w:val="0"/>
          <w:numId w:val="43"/>
        </w:numPr>
        <w:tabs>
          <w:tab w:val="left" w:pos="-720"/>
        </w:tabs>
        <w:suppressAutoHyphens/>
        <w:ind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No podrán ser deudores solidarios de la Cooperativa los directivos y funcionarios</w:t>
      </w:r>
    </w:p>
    <w:p w14:paraId="47827045">
      <w:pPr>
        <w:tabs>
          <w:tab w:val="left" w:pos="-720"/>
        </w:tabs>
        <w:suppressAutoHyphens/>
        <w:ind w:left="502" w:right="49"/>
        <w:jc w:val="both"/>
        <w:rPr>
          <w:rFonts w:cs="Arial"/>
          <w:color w:val="000000" w:themeColor="text1"/>
          <w:spacing w:val="-3"/>
          <w:szCs w:val="24"/>
          <w:u w:val="single"/>
          <w14:textFill>
            <w14:solidFill>
              <w14:schemeClr w14:val="tx1"/>
            </w14:solidFill>
          </w14:textFill>
        </w:rPr>
      </w:pPr>
      <w:r>
        <w:rPr>
          <w:rFonts w:cs="Arial"/>
          <w:color w:val="000000" w:themeColor="text1"/>
          <w:spacing w:val="-3"/>
          <w:szCs w:val="24"/>
          <w:u w:val="single"/>
          <w14:textFill>
            <w14:solidFill>
              <w14:schemeClr w14:val="tx1"/>
            </w14:solidFill>
          </w14:textFill>
        </w:rPr>
        <w:t>Codeudores requeridos según el valor del crédito:</w:t>
      </w:r>
    </w:p>
    <w:p w14:paraId="6E93EF38">
      <w:pPr>
        <w:pStyle w:val="67"/>
        <w:tabs>
          <w:tab w:val="left" w:pos="-720"/>
        </w:tabs>
        <w:suppressAutoHyphens/>
        <w:ind w:left="862" w:right="49"/>
        <w:jc w:val="both"/>
        <w:rPr>
          <w:rFonts w:cs="Arial"/>
          <w:b/>
          <w:bCs/>
          <w:color w:val="000000" w:themeColor="text1"/>
          <w:spacing w:val="-3"/>
          <w:szCs w:val="24"/>
          <w14:textFill>
            <w14:solidFill>
              <w14:schemeClr w14:val="tx1"/>
            </w14:solidFill>
          </w14:textFill>
        </w:rPr>
      </w:pPr>
    </w:p>
    <w:p w14:paraId="42D17858">
      <w:pPr>
        <w:pStyle w:val="67"/>
        <w:tabs>
          <w:tab w:val="left" w:pos="-720"/>
        </w:tabs>
        <w:suppressAutoHyphens/>
        <w:ind w:left="862" w:right="49"/>
        <w:jc w:val="both"/>
        <w:rPr>
          <w:rFonts w:cs="Arial"/>
          <w:b/>
          <w:bCs/>
          <w:color w:val="000000" w:themeColor="text1"/>
          <w:spacing w:val="-3"/>
          <w:szCs w:val="24"/>
          <w14:textFill>
            <w14:solidFill>
              <w14:schemeClr w14:val="tx1"/>
            </w14:solidFill>
          </w14:textFill>
        </w:rPr>
      </w:pPr>
      <w:r>
        <w:rPr>
          <w:rFonts w:cs="Arial"/>
          <w:b/>
          <w:bCs/>
          <w:color w:val="000000" w:themeColor="text1"/>
          <w:spacing w:val="-3"/>
          <w:szCs w:val="24"/>
          <w14:textFill>
            <w14:solidFill>
              <w14:schemeClr w14:val="tx1"/>
            </w14:solidFill>
          </w14:textFill>
        </w:rPr>
        <w:t>Hasta 7 SMMLV =</w:t>
      </w:r>
      <w:r>
        <w:rPr>
          <w:rFonts w:cs="Arial"/>
          <w:b/>
          <w:bCs/>
          <w:color w:val="000000" w:themeColor="text1"/>
          <w:spacing w:val="-3"/>
          <w:szCs w:val="24"/>
          <w14:textFill>
            <w14:solidFill>
              <w14:schemeClr w14:val="tx1"/>
            </w14:solidFill>
          </w14:textFill>
        </w:rPr>
        <w:tab/>
      </w:r>
      <w:r>
        <w:rPr>
          <w:rFonts w:cs="Arial"/>
          <w:b/>
          <w:bCs/>
          <w:color w:val="000000" w:themeColor="text1"/>
          <w:spacing w:val="-3"/>
          <w:szCs w:val="24"/>
          <w14:textFill>
            <w14:solidFill>
              <w14:schemeClr w14:val="tx1"/>
            </w14:solidFill>
          </w14:textFill>
        </w:rPr>
        <w:t>Un codeudor</w:t>
      </w:r>
    </w:p>
    <w:p w14:paraId="7BF42953">
      <w:pPr>
        <w:pStyle w:val="67"/>
        <w:tabs>
          <w:tab w:val="left" w:pos="-720"/>
        </w:tabs>
        <w:suppressAutoHyphens/>
        <w:ind w:left="862" w:right="49"/>
        <w:jc w:val="both"/>
        <w:rPr>
          <w:rFonts w:cs="Arial"/>
          <w:b/>
          <w:bCs/>
          <w:color w:val="000000" w:themeColor="text1"/>
          <w:spacing w:val="-3"/>
          <w:szCs w:val="24"/>
          <w14:textFill>
            <w14:solidFill>
              <w14:schemeClr w14:val="tx1"/>
            </w14:solidFill>
          </w14:textFill>
        </w:rPr>
      </w:pPr>
      <w:r>
        <w:rPr>
          <w:rFonts w:cs="Arial"/>
          <w:b/>
          <w:bCs/>
          <w:color w:val="000000" w:themeColor="text1"/>
          <w:spacing w:val="-3"/>
          <w:szCs w:val="24"/>
          <w14:textFill>
            <w14:solidFill>
              <w14:schemeClr w14:val="tx1"/>
            </w14:solidFill>
          </w14:textFill>
        </w:rPr>
        <w:t>Más de 7 SMMLV y hasta 100 SMMLV = Mínimo dos Codeudores</w:t>
      </w:r>
    </w:p>
    <w:p w14:paraId="3778B25C">
      <w:pPr>
        <w:pStyle w:val="67"/>
        <w:tabs>
          <w:tab w:val="left" w:pos="-720"/>
        </w:tabs>
        <w:suppressAutoHyphens/>
        <w:ind w:left="862" w:right="49"/>
        <w:jc w:val="both"/>
        <w:rPr>
          <w:rFonts w:cs="Arial"/>
          <w:color w:val="000000" w:themeColor="text1"/>
          <w:spacing w:val="-3"/>
          <w:szCs w:val="24"/>
          <w14:textFill>
            <w14:solidFill>
              <w14:schemeClr w14:val="tx1"/>
            </w14:solidFill>
          </w14:textFill>
        </w:rPr>
      </w:pPr>
    </w:p>
    <w:p w14:paraId="355E9327">
      <w:pPr>
        <w:pStyle w:val="67"/>
        <w:numPr>
          <w:ilvl w:val="0"/>
          <w:numId w:val="44"/>
        </w:numPr>
        <w:tabs>
          <w:tab w:val="left" w:pos="-720"/>
        </w:tabs>
        <w:suppressAutoHyphens/>
        <w:ind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Si el valor el monto consolidado del crédito es menor o igual al saldo de aportes no se requerirá ninguna garantía.</w:t>
      </w:r>
    </w:p>
    <w:p w14:paraId="0840065B">
      <w:pPr>
        <w:pStyle w:val="67"/>
        <w:numPr>
          <w:ilvl w:val="0"/>
          <w:numId w:val="44"/>
        </w:numPr>
        <w:tabs>
          <w:tab w:val="left" w:pos="-720"/>
        </w:tabs>
        <w:suppressAutoHyphens/>
        <w:ind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Sin embargo, cuando el asociado tenga buena capacidad de pago y/o solvencia o el saldo de aportes sea representativo se podrían reevaluar las garantías, previa autorización de la siguiente instancia de aprobación.</w:t>
      </w:r>
    </w:p>
    <w:p w14:paraId="31ED4473">
      <w:pPr>
        <w:pStyle w:val="67"/>
        <w:tabs>
          <w:tab w:val="left" w:pos="-720"/>
        </w:tabs>
        <w:suppressAutoHyphens/>
        <w:ind w:left="862" w:right="49"/>
        <w:jc w:val="both"/>
        <w:rPr>
          <w:rFonts w:cs="Arial"/>
          <w:color w:val="000000" w:themeColor="text1"/>
          <w:spacing w:val="-3"/>
          <w:szCs w:val="24"/>
          <w14:textFill>
            <w14:solidFill>
              <w14:schemeClr w14:val="tx1"/>
            </w14:solidFill>
          </w14:textFill>
        </w:rPr>
      </w:pPr>
    </w:p>
    <w:p w14:paraId="0A6662F5">
      <w:pPr>
        <w:pStyle w:val="4"/>
      </w:pPr>
      <w:bookmarkStart w:id="190" w:name="_Toc182642852"/>
      <w:r>
        <w:t>10.1.2 Garantía Real o Admisible:</w:t>
      </w:r>
      <w:bookmarkEnd w:id="190"/>
      <w:r>
        <w:t xml:space="preserve"> </w:t>
      </w:r>
    </w:p>
    <w:p w14:paraId="414C9B07">
      <w:pPr>
        <w:jc w:val="both"/>
        <w:rPr>
          <w:lang w:val="es-MX" w:eastAsia="es-CO"/>
        </w:rPr>
      </w:pPr>
    </w:p>
    <w:p w14:paraId="22AAB4A4">
      <w:pPr>
        <w:jc w:val="both"/>
        <w:rPr>
          <w:rFonts w:cs="Arial"/>
          <w:szCs w:val="24"/>
          <w:lang w:val="es-ES"/>
        </w:rPr>
      </w:pPr>
      <w:r>
        <w:rPr>
          <w:rFonts w:cs="Arial"/>
          <w:szCs w:val="24"/>
          <w:lang w:val="es-ES"/>
        </w:rPr>
        <w:t>Es garantía real aquella en la que el cumplimiento de una obligación se encuentra garantizado con un bien mueble o inmueble sobre los cuales la Cooperativa adquiere derechos de preferencia y persecución. Este tipo de garantía está dada por un título representativo del gravamen en el cual el asociado u otra persona natural o jurídica se compromete a garantizar el pago de la obligación mediante la constitución de hipotecas, contrato de pignoración, de prenda o avales, los cuales deben ser elevados a escritura pública y/o registrados ante la entidad competente, requisito sin el cual la garantía no presta merito ejecutivo.</w:t>
      </w:r>
    </w:p>
    <w:p w14:paraId="0BC7017C">
      <w:pPr>
        <w:jc w:val="both"/>
        <w:rPr>
          <w:rFonts w:cs="Arial"/>
          <w:szCs w:val="24"/>
          <w:lang w:val="es-ES"/>
        </w:rPr>
      </w:pPr>
      <w:r>
        <w:rPr>
          <w:rFonts w:cs="Arial"/>
          <w:szCs w:val="24"/>
          <w:lang w:val="es-ES"/>
        </w:rPr>
        <w:t>En lo que se refiere al atributo de persecución, el mismo otorga la facultad al acreedor de perseguir el bien objeto de la garantía, independiente de quien lo tenga bajo su poder o control, con el objeto de que pueda ser rematado y con el producto del mismo, la obligación pagada. Por tanto, no importa en manos de quien se encuentre el bien, ni si el mismo ha sido enajenado o transferido a otra persona, pues la Cooperativa lo puede perseguir independiente de estas consideraciones en la medida en que se encuentre un gravamen a su favor constituido antes de que el bien fuera enajenado o transferido a un tercero.</w:t>
      </w:r>
    </w:p>
    <w:p w14:paraId="04D18FDB">
      <w:pPr>
        <w:jc w:val="both"/>
        <w:rPr>
          <w:rFonts w:cs="Arial"/>
          <w:szCs w:val="24"/>
          <w:lang w:val="es-ES"/>
        </w:rPr>
      </w:pPr>
      <w:r>
        <w:rPr>
          <w:rFonts w:cs="Arial"/>
          <w:b/>
          <w:bCs/>
          <w:szCs w:val="24"/>
          <w:lang w:val="es-ES"/>
        </w:rPr>
        <w:t>Los créditos por cuantía superior a 100 SMMLV</w:t>
      </w:r>
      <w:r>
        <w:rPr>
          <w:rFonts w:cs="Arial"/>
          <w:szCs w:val="24"/>
          <w:lang w:val="es-ES"/>
        </w:rPr>
        <w:t xml:space="preserve"> requerirán garantía real, sin embargo, cuando el asociado tenga buena capacidad de pago y/o solvencia o el saldo de aportes sea representativo se podrían reevaluar las garantías, previa autorización de la siguiente instancia de aprobación.</w:t>
      </w:r>
    </w:p>
    <w:p w14:paraId="6B0D52FA">
      <w:pPr>
        <w:jc w:val="both"/>
        <w:rPr>
          <w:rFonts w:cs="Arial"/>
          <w:szCs w:val="24"/>
          <w:lang w:val="es-ES"/>
        </w:rPr>
      </w:pPr>
      <w:r>
        <w:rPr>
          <w:rFonts w:cs="Arial"/>
          <w:szCs w:val="24"/>
          <w:lang w:val="es-ES"/>
        </w:rPr>
        <w:t>De acuerdo con lo previsto el decreto 2555 de 2010 se considerarán garantías o seguridades admisibles aquellas garantías o seguridades que cumplan las siguientes condiciones:</w:t>
      </w:r>
    </w:p>
    <w:p w14:paraId="793526A5">
      <w:pPr>
        <w:pStyle w:val="67"/>
        <w:numPr>
          <w:ilvl w:val="0"/>
          <w:numId w:val="45"/>
        </w:numPr>
        <w:jc w:val="both"/>
        <w:rPr>
          <w:rFonts w:cs="Arial"/>
          <w:szCs w:val="24"/>
          <w:lang w:val="es-ES"/>
        </w:rPr>
      </w:pPr>
      <w:r>
        <w:rPr>
          <w:rFonts w:cs="Arial"/>
          <w:szCs w:val="24"/>
          <w:lang w:val="es-ES"/>
        </w:rPr>
        <w:t>Que la garantía o seguridad constituida tenga un valor, establecido con base en criterios técnicos y objetivos, que sea suficiente para cubrir el monto de la obligación.</w:t>
      </w:r>
    </w:p>
    <w:p w14:paraId="52514F04">
      <w:pPr>
        <w:pStyle w:val="67"/>
        <w:numPr>
          <w:ilvl w:val="0"/>
          <w:numId w:val="45"/>
        </w:numPr>
        <w:jc w:val="both"/>
        <w:rPr>
          <w:rFonts w:cs="Arial"/>
          <w:szCs w:val="24"/>
          <w:lang w:val="es-ES"/>
        </w:rPr>
      </w:pPr>
      <w:r>
        <w:rPr>
          <w:rFonts w:cs="Arial"/>
          <w:szCs w:val="24"/>
          <w:lang w:val="es-ES"/>
        </w:rPr>
        <w:t>Que la garantía o seguridad ofrezca un respaldo jurídicamente eficaz al pago de la obligación garantizada al otorgar al acreedor una preferencia o mejor derecho para obtener el pago de la obligación.</w:t>
      </w:r>
    </w:p>
    <w:p w14:paraId="0A2266CF">
      <w:pPr>
        <w:jc w:val="both"/>
        <w:rPr>
          <w:rFonts w:cs="Arial"/>
          <w:szCs w:val="24"/>
          <w:lang w:val="es-ES"/>
        </w:rPr>
      </w:pPr>
      <w:r>
        <w:rPr>
          <w:rFonts w:cs="Arial"/>
          <w:szCs w:val="24"/>
          <w:lang w:val="es-ES"/>
        </w:rPr>
        <w:t>Dentro de las garantías admisibles en la Cooperativa se incluyen: la hipoteca y la prenda sin tenencia.</w:t>
      </w:r>
    </w:p>
    <w:p w14:paraId="64CEB810">
      <w:pPr>
        <w:jc w:val="both"/>
        <w:rPr>
          <w:rFonts w:cs="Arial"/>
          <w:szCs w:val="24"/>
          <w:lang w:val="es-ES"/>
        </w:rPr>
      </w:pPr>
      <w:r>
        <w:rPr>
          <w:rFonts w:cs="Arial"/>
          <w:szCs w:val="24"/>
          <w:lang w:val="es-ES"/>
        </w:rPr>
        <w:t>Todos los gastos que se ocasionen por la constitución de la Hipoteca o prenda son a cargo del asociado</w:t>
      </w:r>
    </w:p>
    <w:p w14:paraId="2FC30F90">
      <w:pPr>
        <w:pStyle w:val="3"/>
        <w:numPr>
          <w:ilvl w:val="0"/>
          <w:numId w:val="0"/>
        </w:numPr>
      </w:pPr>
      <w:bookmarkStart w:id="191" w:name="_Toc182642853"/>
      <w:r>
        <w:t>10.2 Cobertura de las Garantías</w:t>
      </w:r>
      <w:bookmarkEnd w:id="191"/>
      <w:r>
        <w:t xml:space="preserve"> </w:t>
      </w:r>
    </w:p>
    <w:p w14:paraId="5AF6AD41">
      <w:pPr>
        <w:jc w:val="both"/>
        <w:rPr>
          <w:lang w:val="es-ES" w:eastAsia="es-ES" w:bidi="en-US"/>
        </w:rPr>
      </w:pPr>
    </w:p>
    <w:p w14:paraId="45832325">
      <w:pPr>
        <w:pStyle w:val="67"/>
        <w:numPr>
          <w:ilvl w:val="0"/>
          <w:numId w:val="46"/>
        </w:numPr>
        <w:jc w:val="both"/>
        <w:rPr>
          <w:b/>
          <w:bCs/>
          <w:lang w:val="es-ES" w:eastAsia="es-ES" w:bidi="en-US"/>
        </w:rPr>
      </w:pPr>
      <w:r>
        <w:rPr>
          <w:b/>
          <w:bCs/>
          <w:lang w:val="es-ES" w:eastAsia="es-ES" w:bidi="en-US"/>
        </w:rPr>
        <w:t>Cobertura de inmuebles:</w:t>
      </w:r>
    </w:p>
    <w:p w14:paraId="4C802615">
      <w:pPr>
        <w:jc w:val="both"/>
        <w:rPr>
          <w:lang w:val="es-ES" w:eastAsia="es-ES" w:bidi="en-US"/>
        </w:rPr>
      </w:pPr>
      <w:r>
        <w:rPr>
          <w:lang w:val="es-ES" w:eastAsia="es-ES" w:bidi="en-US"/>
        </w:rPr>
        <w:t>La cooperativa solo otorgará créditos hasta por el 70% del avalúo técnico practicado a la garantía admisible que se ofrece para bienes urbanos y por el 60% del avalúo técnico si se trata de bienes rurales y deberán asegurarse contra incendio y terremoto.</w:t>
      </w:r>
    </w:p>
    <w:p w14:paraId="090B009A">
      <w:pPr>
        <w:pStyle w:val="67"/>
        <w:numPr>
          <w:ilvl w:val="0"/>
          <w:numId w:val="46"/>
        </w:numPr>
        <w:jc w:val="both"/>
        <w:rPr>
          <w:b/>
          <w:bCs/>
          <w:lang w:val="es-ES" w:eastAsia="es-ES" w:bidi="en-US"/>
        </w:rPr>
      </w:pPr>
      <w:r>
        <w:rPr>
          <w:b/>
          <w:bCs/>
          <w:lang w:val="es-ES" w:eastAsia="es-ES" w:bidi="en-US"/>
        </w:rPr>
        <w:t>Cobertura de vehículos:</w:t>
      </w:r>
    </w:p>
    <w:p w14:paraId="049ED6D5">
      <w:pPr>
        <w:jc w:val="both"/>
        <w:rPr>
          <w:lang w:val="es-ES" w:eastAsia="es-ES" w:bidi="en-US"/>
        </w:rPr>
      </w:pPr>
      <w:r>
        <w:rPr>
          <w:lang w:val="es-ES" w:eastAsia="es-ES" w:bidi="en-US"/>
        </w:rPr>
        <w:t>En ningún caso el monto de los créditos respaldados con este tipo de garantía podrá ser superior al 70% del avalúo.</w:t>
      </w:r>
    </w:p>
    <w:p w14:paraId="4DFF704F">
      <w:pPr>
        <w:pStyle w:val="2"/>
        <w:numPr>
          <w:ilvl w:val="0"/>
          <w:numId w:val="47"/>
        </w:numPr>
      </w:pPr>
      <w:bookmarkStart w:id="192" w:name="_Toc182642854"/>
      <w:r>
        <w:t>3 Avalúos</w:t>
      </w:r>
      <w:bookmarkEnd w:id="192"/>
    </w:p>
    <w:p w14:paraId="635E7674">
      <w:pPr>
        <w:jc w:val="both"/>
        <w:rPr>
          <w:lang w:val="es-ES" w:eastAsia="es-ES" w:bidi="en-US"/>
        </w:rPr>
      </w:pPr>
      <w:r>
        <w:rPr>
          <w:lang w:val="es-ES" w:eastAsia="es-ES" w:bidi="en-US"/>
        </w:rPr>
        <w:t>a. El valor de las garantías sobre inmuebles al momento del otorgamiento, corresponderá al obtenido mediante un avalúo técnico</w:t>
      </w:r>
    </w:p>
    <w:p w14:paraId="39F33421">
      <w:pPr>
        <w:jc w:val="both"/>
        <w:rPr>
          <w:lang w:val="es-ES" w:eastAsia="es-ES" w:bidi="en-US"/>
        </w:rPr>
      </w:pPr>
      <w:r>
        <w:rPr>
          <w:lang w:val="es-ES" w:eastAsia="es-ES" w:bidi="en-US"/>
        </w:rPr>
        <w:t>b. Cuando se trate de inmuebles destinados a vivienda, la vigencia del avalúo será máximo de un (1) año. Este valor se deberá actualizar anualmente teniendo en cuenta los siguientes mecanismos:</w:t>
      </w:r>
    </w:p>
    <w:p w14:paraId="4223B6B9">
      <w:pPr>
        <w:jc w:val="both"/>
        <w:rPr>
          <w:lang w:val="es-ES" w:eastAsia="es-ES" w:bidi="en-US"/>
        </w:rPr>
      </w:pPr>
      <w:r>
        <w:rPr>
          <w:lang w:val="es-ES" w:eastAsia="es-ES" w:bidi="en-US"/>
        </w:rPr>
        <w:t xml:space="preserve">•Para inmuebles ubicados en Bogotá D.C, se debe aplicar los valores de reajuste anual del Índice de Valoración Inmobiliaria Urbana y Rural (VIUR) adoptado por la Alcaldía Mayor de Bogotá para la vigencia fiscal y el estrato residencial (si se trata de inmuebles destinados a vivienda) o el tipo de predio (comercial, depósitos, industria, oficinas y otros usos y bodegas) correspondiente. </w:t>
      </w:r>
    </w:p>
    <w:p w14:paraId="6F259DC9">
      <w:pPr>
        <w:jc w:val="both"/>
        <w:rPr>
          <w:lang w:val="es-ES" w:eastAsia="es-ES" w:bidi="en-US"/>
        </w:rPr>
      </w:pPr>
      <w:r>
        <w:rPr>
          <w:lang w:val="es-ES" w:eastAsia="es-ES" w:bidi="en-US"/>
        </w:rPr>
        <w:t>Esta metodología también se aplicará para actualizar el valor de las garantías constituidas sobre bienes inmuebles no destinados a vivienda.</w:t>
      </w:r>
    </w:p>
    <w:p w14:paraId="11232C45">
      <w:pPr>
        <w:jc w:val="both"/>
        <w:rPr>
          <w:lang w:val="es-ES" w:eastAsia="es-ES" w:bidi="en-US"/>
        </w:rPr>
      </w:pPr>
      <w:r>
        <w:rPr>
          <w:lang w:val="es-ES" w:eastAsia="es-ES" w:bidi="en-US"/>
        </w:rPr>
        <w:t>• Para inmuebles ubicados fuera de Bogotá D.C, se debe aplicar los valores de reajuste anual del Índice de Valoración Predial (IVP) publicado por el Departamento Administrativo Nacional de Estadística (DANE) para la ciudad respectiva, o en su defecto, los valores de reajuste anual del IVP para el total nacional.</w:t>
      </w:r>
    </w:p>
    <w:p w14:paraId="0D661D79">
      <w:pPr>
        <w:jc w:val="both"/>
        <w:rPr>
          <w:lang w:val="es-ES" w:eastAsia="es-ES" w:bidi="en-US"/>
        </w:rPr>
      </w:pPr>
      <w:r>
        <w:rPr>
          <w:lang w:val="es-ES" w:eastAsia="es-ES" w:bidi="en-US"/>
        </w:rPr>
        <w:t xml:space="preserve">Cuando se trate de inmuebles no destinados a vivienda ubicados fuera de Bogotá D.C., el avalúo técnico inicial tendrá una vigencia máxima de tres (3) años. Al cabo de este período se deberá realizar un nuevo avalúo técnico por lo menos cada tres años para mantener actualizado el valor de la garantía. </w:t>
      </w:r>
    </w:p>
    <w:p w14:paraId="16A3E18E">
      <w:pPr>
        <w:jc w:val="both"/>
        <w:rPr>
          <w:lang w:val="es-ES" w:eastAsia="es-ES" w:bidi="en-US"/>
        </w:rPr>
      </w:pPr>
      <w:r>
        <w:rPr>
          <w:lang w:val="es-ES" w:eastAsia="es-ES" w:bidi="en-US"/>
        </w:rPr>
        <w:t>c. En el caso de garantías constituidas bienes diferentes a hipotecas o vehículos, se deben atender las instrucciones establecidas a continuación, según corresponda:</w:t>
      </w:r>
    </w:p>
    <w:p w14:paraId="28630218">
      <w:pPr>
        <w:jc w:val="both"/>
        <w:rPr>
          <w:lang w:val="es-ES" w:eastAsia="es-ES" w:bidi="en-US"/>
        </w:rPr>
      </w:pPr>
      <w:r>
        <w:rPr>
          <w:lang w:val="es-ES" w:eastAsia="es-ES" w:bidi="en-US"/>
        </w:rPr>
        <w:t xml:space="preserve">• Bienes nuevos o con una antigüedad menor a un año: Coopcallejona debe utilizar como valor de la garantía al momento del otorgamiento, el valor de compra registrado en la factura correspondiente; este valor será válido por un (1) año. Al cabo de este periodo se debe actualizar anualmente su valor, aplicando la metodología de depreciación en línea recta y acorde con la vida útil del respectivo bien. </w:t>
      </w:r>
    </w:p>
    <w:p w14:paraId="7954110E">
      <w:pPr>
        <w:jc w:val="both"/>
        <w:rPr>
          <w:lang w:val="es-ES" w:eastAsia="es-ES" w:bidi="en-US"/>
        </w:rPr>
      </w:pPr>
      <w:r>
        <w:rPr>
          <w:lang w:val="es-ES" w:eastAsia="es-ES" w:bidi="en-US"/>
        </w:rPr>
        <w:t xml:space="preserve">• Bienes con una antigüedad mayor a un año: Coopcallejona debe utilizar como valor de la garantía al momento del otorgamiento, el obtenido en un avalúo técnico, este valor será válido por un (1) año. Al cabo de este periodo se debe actualizar anualmente su valor, aplicando la metodología de depreciación en línea recta y acorde con la vida útil del respectivo bien. </w:t>
      </w:r>
    </w:p>
    <w:p w14:paraId="291F4B16">
      <w:pPr>
        <w:jc w:val="both"/>
        <w:rPr>
          <w:lang w:val="es-ES" w:eastAsia="es-ES" w:bidi="en-US"/>
        </w:rPr>
      </w:pPr>
      <w:r>
        <w:rPr>
          <w:lang w:val="es-ES" w:eastAsia="es-ES" w:bidi="en-US"/>
        </w:rPr>
        <w:t>En el caso en que el bien sea objeto de una modificación o una repotenciación que incremente su vida útil, se debe realizar un nuevo avalúo técnico para ajustar el valor de la garantía, este valor será válido por un (1) año. Al cabo de este periodo se debe actualizar anualmente su valor, con base en la metodología de depreciación en línea recta y conforme a la vida útil del respectivo bien.</w:t>
      </w:r>
    </w:p>
    <w:p w14:paraId="30904E5B">
      <w:pPr>
        <w:jc w:val="both"/>
        <w:rPr>
          <w:lang w:val="es-ES" w:eastAsia="es-ES" w:bidi="en-US"/>
        </w:rPr>
      </w:pPr>
      <w:r>
        <w:rPr>
          <w:lang w:val="es-ES" w:eastAsia="es-ES" w:bidi="en-US"/>
        </w:rPr>
        <w:t>Sin perjuicio de lo anterior, a juicio de Coopcallejona se pueden realizar avalúos técnicos de los bienes que trata el presente numeral, a efectos de valorar las garantías.</w:t>
      </w:r>
    </w:p>
    <w:p w14:paraId="2B1AB7DA">
      <w:pPr>
        <w:jc w:val="both"/>
        <w:rPr>
          <w:lang w:val="es-ES" w:eastAsia="es-ES" w:bidi="en-US"/>
        </w:rPr>
      </w:pPr>
      <w:r>
        <w:rPr>
          <w:lang w:val="es-ES" w:eastAsia="es-ES" w:bidi="en-US"/>
        </w:rPr>
        <w:t>Este avalúo será válido por un (1) año. Al cabo de este periodo se debe actualizar anualmente su valor con base en la metodología de depreciación en línea recta y conforme a la vida útil del respectivo bien.</w:t>
      </w:r>
    </w:p>
    <w:p w14:paraId="3B0BE1EA">
      <w:pPr>
        <w:jc w:val="both"/>
        <w:rPr>
          <w:lang w:val="es-ES" w:eastAsia="es-ES" w:bidi="en-US"/>
        </w:rPr>
      </w:pPr>
      <w:r>
        <w:rPr>
          <w:lang w:val="es-ES" w:eastAsia="es-ES" w:bidi="en-US"/>
        </w:rPr>
        <w:t>d. En el caso de garantías constituidas sobre vehículos, su valor se determinará teniendo en cuenta los siguientes parámetros:</w:t>
      </w:r>
    </w:p>
    <w:p w14:paraId="2648D476">
      <w:pPr>
        <w:jc w:val="both"/>
        <w:rPr>
          <w:lang w:val="es-ES" w:eastAsia="es-ES" w:bidi="en-US"/>
        </w:rPr>
      </w:pPr>
      <w:r>
        <w:rPr>
          <w:lang w:val="es-ES" w:eastAsia="es-ES" w:bidi="en-US"/>
        </w:rPr>
        <w:t>•Cuando se trate de vehículos clasificados en la Guía de Valores de Fasecolda, el valor al momento del otorgamiento y las actualizaciones mensuales posteriores, corresponderá al valor publicado en dicha guía.</w:t>
      </w:r>
    </w:p>
    <w:p w14:paraId="176BF0E5">
      <w:pPr>
        <w:jc w:val="both"/>
        <w:rPr>
          <w:lang w:val="es-ES" w:eastAsia="es-ES" w:bidi="en-US"/>
        </w:rPr>
      </w:pPr>
      <w:r>
        <w:rPr>
          <w:lang w:val="es-ES" w:eastAsia="es-ES" w:bidi="en-US"/>
        </w:rPr>
        <w:t>Si se trata de vehículos No clasificados en la Guía de Valores de Fasecolda, Coopcallejona podrá utilizar la información de avalúos comerciales publicada por el Ministerio de Transporte.</w:t>
      </w:r>
    </w:p>
    <w:p w14:paraId="1E31C2B6">
      <w:pPr>
        <w:jc w:val="both"/>
        <w:rPr>
          <w:lang w:val="es-ES" w:eastAsia="es-ES" w:bidi="en-US"/>
        </w:rPr>
      </w:pPr>
      <w:r>
        <w:rPr>
          <w:lang w:val="es-ES" w:eastAsia="es-ES" w:bidi="en-US"/>
        </w:rPr>
        <w:t>•Si se trata de vehículos NO incluidos en ninguna de las publicaciones anteriores, el valor inicial de la garantía podrá ser el registrado en la factura de venta correspondiente y será válido por tres (3) meses y deberá actualizarse de acuerdo con los valores contenidos en la Guía de Valores de Fasecolda o en la información de avalúos comerciales publicada por el Ministerio de Transporte.</w:t>
      </w:r>
    </w:p>
    <w:p w14:paraId="1A1D9B09">
      <w:pPr>
        <w:jc w:val="both"/>
        <w:rPr>
          <w:lang w:val="es-ES" w:eastAsia="es-ES" w:bidi="en-US"/>
        </w:rPr>
      </w:pPr>
      <w:r>
        <w:rPr>
          <w:lang w:val="es-ES" w:eastAsia="es-ES" w:bidi="en-US"/>
        </w:rPr>
        <w:t xml:space="preserve">e. Cuando se trate de créditos garantizados con pignoración de rentas, como el caso de los préstamos otorgados a entidades públicas territoriales, se debe verificar que su cobertura no se vea afectada por destinaciones específicas o por otras pignoraciones previas o concurrentes, teniendo en cuenta lo establecido en la normatividad vigente. </w:t>
      </w:r>
    </w:p>
    <w:p w14:paraId="08E1673B">
      <w:pPr>
        <w:jc w:val="both"/>
        <w:rPr>
          <w:lang w:val="es-ES" w:eastAsia="es-ES" w:bidi="en-US"/>
        </w:rPr>
      </w:pPr>
      <w:r>
        <w:rPr>
          <w:lang w:val="es-ES" w:eastAsia="es-ES" w:bidi="en-US"/>
        </w:rPr>
        <w:t>f. En el caso de garantías constituidas sobre títulos o valores en los términos del artículo 2 de la Ley 964 de 2005, el valor deberá determinarse de conformidad con lo dispuesto por un proveedor de precios para valoración autorizado por la Superintendencia Financiera de Colombia.</w:t>
      </w:r>
    </w:p>
    <w:p w14:paraId="4A4203FF">
      <w:pPr>
        <w:jc w:val="both"/>
        <w:rPr>
          <w:lang w:val="es-ES" w:eastAsia="es-ES" w:bidi="en-US"/>
        </w:rPr>
      </w:pPr>
      <w:r>
        <w:rPr>
          <w:lang w:val="es-ES" w:eastAsia="es-ES" w:bidi="en-US"/>
        </w:rPr>
        <w:t>g. Para las garantías que no se encuentren incluidas en los numerales anteriores, Coopcallejona debe utilizar como valor de la garantía al momento del otorgamiento, el obtenido mediante un avalúo técnico. Este valor será válido por un año y al cabo de este período se deberá actualizar anualmente con criterios técnicos, dependiendo de las características propias de cada bien conforme a la metodología que Coopcallejona determine para tal efecto. Dicha metodología deberá estar a disposición de la Superintendencia cuando ésta la solicite.</w:t>
      </w:r>
    </w:p>
    <w:p w14:paraId="61A02500">
      <w:pPr>
        <w:jc w:val="both"/>
        <w:rPr>
          <w:lang w:val="es-ES" w:eastAsia="es-ES" w:bidi="en-US"/>
        </w:rPr>
      </w:pPr>
      <w:r>
        <w:rPr>
          <w:lang w:val="es-ES" w:eastAsia="es-ES" w:bidi="en-US"/>
        </w:rPr>
        <w:t>Es pertinente señalar que las libranzas son un mecanismo de pago y no constituyen una garantía por cuanto no cumplen con las características propias de una garantía admisible señaladas en la normatividad vigente.</w:t>
      </w:r>
    </w:p>
    <w:p w14:paraId="57B86942">
      <w:pPr>
        <w:jc w:val="both"/>
        <w:rPr>
          <w:lang w:val="es-ES" w:eastAsia="es-ES" w:bidi="en-US"/>
        </w:rPr>
      </w:pPr>
      <w:r>
        <w:rPr>
          <w:lang w:val="es-ES" w:eastAsia="es-ES" w:bidi="en-US"/>
        </w:rPr>
        <w:t>h. Coopcallejona tendrá la facultad de no realizar un nuevo avalúo en los casos que se exige para actualizar el valor técnico de la garantía, cuando se presenten las siguientes circunstancias:</w:t>
      </w:r>
    </w:p>
    <w:p w14:paraId="58AAF745">
      <w:pPr>
        <w:jc w:val="both"/>
        <w:rPr>
          <w:lang w:val="es-ES" w:eastAsia="es-ES" w:bidi="en-US"/>
        </w:rPr>
      </w:pPr>
      <w:r>
        <w:rPr>
          <w:lang w:val="es-ES" w:eastAsia="es-ES" w:bidi="en-US"/>
        </w:rPr>
        <w:t>• El plazo del crédito o créditos respaldados con la respectiva garantía no supera los tres (3) años y el valor de la misma supera al menos en dos (2) veces el total del saldo pendiente de pago del crédito o créditos garantizados.</w:t>
      </w:r>
    </w:p>
    <w:p w14:paraId="31DCFA4B">
      <w:pPr>
        <w:jc w:val="both"/>
        <w:rPr>
          <w:lang w:val="es-ES" w:eastAsia="es-ES" w:bidi="en-US"/>
        </w:rPr>
      </w:pPr>
      <w:r>
        <w:rPr>
          <w:lang w:val="es-ES" w:eastAsia="es-ES" w:bidi="en-US"/>
        </w:rPr>
        <w:t>• El plazo para finalizar el pago del crédito o créditos garantizados es igual o inferior a un año.</w:t>
      </w:r>
    </w:p>
    <w:p w14:paraId="057ADC20">
      <w:pPr>
        <w:jc w:val="both"/>
        <w:rPr>
          <w:lang w:val="es-ES" w:eastAsia="es-ES" w:bidi="en-US"/>
        </w:rPr>
      </w:pPr>
      <w:r>
        <w:rPr>
          <w:lang w:val="es-ES" w:eastAsia="es-ES" w:bidi="en-US"/>
        </w:rPr>
        <w:t>• El costo del avalúo supera el 10% del valor del saldo de crédito o créditos garantizados.</w:t>
      </w:r>
    </w:p>
    <w:p w14:paraId="555B7909">
      <w:pPr>
        <w:jc w:val="both"/>
        <w:rPr>
          <w:lang w:val="es-ES" w:eastAsia="es-ES" w:bidi="en-US"/>
        </w:rPr>
      </w:pPr>
      <w:r>
        <w:rPr>
          <w:lang w:val="es-ES" w:eastAsia="es-ES" w:bidi="en-US"/>
        </w:rPr>
        <w:t>• El crédito garantizado se encuentra deteriorado en un 100%.</w:t>
      </w:r>
    </w:p>
    <w:p w14:paraId="313F3E10">
      <w:pPr>
        <w:jc w:val="both"/>
        <w:rPr>
          <w:lang w:val="es-ES" w:eastAsia="es-ES" w:bidi="en-US"/>
        </w:rPr>
      </w:pPr>
      <w:r>
        <w:rPr>
          <w:lang w:val="es-ES" w:eastAsia="es-ES" w:bidi="en-US"/>
        </w:rPr>
        <w:t>Cuando Coopcallejona haga uso de esta facultad, deberá justificar en cada caso las razones de su decisión, teniendo en cuenta los criterios de evaluación del riesgo. La justificación deberá estar disponible cuando la Superintendencia la solicite.</w:t>
      </w:r>
    </w:p>
    <w:p w14:paraId="623CC5F3">
      <w:pPr>
        <w:jc w:val="both"/>
        <w:rPr>
          <w:lang w:val="es-ES" w:eastAsia="es-ES" w:bidi="en-US"/>
        </w:rPr>
      </w:pPr>
      <w:r>
        <w:rPr>
          <w:lang w:val="es-ES" w:eastAsia="es-ES" w:bidi="en-US"/>
        </w:rPr>
        <w:t>Cuando se trate de créditos en los cuales se constituya garantía, el avalúo realizado para la constitución de la misma, tendrá vigencia durante los 6 meses siguientes al desembolso, para efectuar nuevos créditos cuyo respaldo sea esta misma garantía.</w:t>
      </w:r>
    </w:p>
    <w:p w14:paraId="71A65433">
      <w:pPr>
        <w:jc w:val="both"/>
        <w:rPr>
          <w:lang w:val="es-ES" w:eastAsia="es-ES" w:bidi="en-US"/>
        </w:rPr>
      </w:pPr>
      <w:r>
        <w:rPr>
          <w:lang w:val="es-ES" w:eastAsia="es-ES" w:bidi="en-US"/>
        </w:rPr>
        <w:t>En todo caso, Coopcallejona deberá evaluar la idoneidad de las garantías y actualizar su valor de manera inmediata, cuando las obligaciones que respaldan adquieran una calificación de riesgo “D”, con excepción de los casos en que la actualización se haya realizado en el año inmediatamente anterior a la fecha de dicha calificación.</w:t>
      </w:r>
    </w:p>
    <w:p w14:paraId="62514B68">
      <w:pPr>
        <w:jc w:val="both"/>
        <w:rPr>
          <w:lang w:val="es-ES" w:eastAsia="es-ES" w:bidi="en-US"/>
        </w:rPr>
      </w:pPr>
      <w:r>
        <w:rPr>
          <w:lang w:val="es-ES" w:eastAsia="es-ES" w:bidi="en-US"/>
        </w:rPr>
        <w:t>Cuando con el avalúo comercial registrado en la liquidación del impuesto predial o municipal se cubra el 70% del valor del crédito a otorgar, no se requerirá avalúo, se realizará visita de inspección de inmuebles para la cual se deberá diligenciar el Formato “Visitas de inspección Ocular” F- CAR-05</w:t>
      </w:r>
    </w:p>
    <w:p w14:paraId="5D501FF1">
      <w:pPr>
        <w:jc w:val="both"/>
        <w:rPr>
          <w:lang w:val="es-ES" w:eastAsia="es-ES" w:bidi="en-US"/>
        </w:rPr>
      </w:pPr>
      <w:r>
        <w:rPr>
          <w:lang w:val="es-ES" w:eastAsia="es-ES" w:bidi="en-US"/>
        </w:rPr>
        <w:t>El valor de los avalúos solo puede aumentarse con la realización de un nuevo avalúo.</w:t>
      </w:r>
    </w:p>
    <w:p w14:paraId="4FA7F9FA">
      <w:pPr>
        <w:jc w:val="both"/>
        <w:rPr>
          <w:lang w:val="es-ES" w:eastAsia="es-ES" w:bidi="en-US"/>
        </w:rPr>
      </w:pPr>
      <w:r>
        <w:rPr>
          <w:lang w:val="es-ES" w:eastAsia="es-ES" w:bidi="en-US"/>
        </w:rPr>
        <w:t>Los avalúos se realizan sobre las condiciones reales que presenta el inmueble al momento de la visita.</w:t>
      </w:r>
    </w:p>
    <w:p w14:paraId="7A2DD53E">
      <w:pPr>
        <w:jc w:val="both"/>
        <w:rPr>
          <w:lang w:val="es-ES" w:eastAsia="es-ES" w:bidi="en-US"/>
        </w:rPr>
      </w:pPr>
      <w:r>
        <w:rPr>
          <w:lang w:val="es-ES" w:eastAsia="es-ES" w:bidi="en-US"/>
        </w:rPr>
        <w:t>Los siguientes son los parámetros que deben cumplir los bienes:</w:t>
      </w:r>
    </w:p>
    <w:p w14:paraId="6DFF8CF8">
      <w:pPr>
        <w:pStyle w:val="67"/>
        <w:numPr>
          <w:ilvl w:val="0"/>
          <w:numId w:val="48"/>
        </w:numPr>
        <w:jc w:val="both"/>
        <w:rPr>
          <w:lang w:val="es-ES" w:eastAsia="es-ES" w:bidi="en-US"/>
        </w:rPr>
      </w:pPr>
      <w:r>
        <w:rPr>
          <w:lang w:val="es-ES" w:eastAsia="es-ES" w:bidi="en-US"/>
        </w:rPr>
        <w:t>Los inmuebles en zonas urbanas deben contar con nomenclatura definitiva, en caso de duda o que no sea clara, solicitar certificado a la entidad correspondiente y se anexa al informe del avalúo.</w:t>
      </w:r>
    </w:p>
    <w:p w14:paraId="7FD009D0">
      <w:pPr>
        <w:pStyle w:val="67"/>
        <w:numPr>
          <w:ilvl w:val="0"/>
          <w:numId w:val="48"/>
        </w:numPr>
        <w:jc w:val="both"/>
        <w:rPr>
          <w:lang w:val="es-ES" w:eastAsia="es-ES" w:bidi="en-US"/>
        </w:rPr>
      </w:pPr>
      <w:r>
        <w:rPr>
          <w:lang w:val="es-ES" w:eastAsia="es-ES" w:bidi="en-US"/>
        </w:rPr>
        <w:t>Las construcciones en curso, se evalúan en el estado en que se encuentren al momento de la visita.</w:t>
      </w:r>
    </w:p>
    <w:p w14:paraId="6B157D5A">
      <w:pPr>
        <w:pStyle w:val="67"/>
        <w:numPr>
          <w:ilvl w:val="0"/>
          <w:numId w:val="48"/>
        </w:numPr>
        <w:jc w:val="both"/>
        <w:rPr>
          <w:lang w:val="es-ES" w:eastAsia="es-ES" w:bidi="en-US"/>
        </w:rPr>
      </w:pPr>
      <w:r>
        <w:rPr>
          <w:lang w:val="es-ES" w:eastAsia="es-ES" w:bidi="en-US"/>
        </w:rPr>
        <w:t>Los inmuebles de usos diferentes de vivienda, se evalúan sin tener en cuenta los tangibles propios del negocio que funcionan en el mismo.</w:t>
      </w:r>
    </w:p>
    <w:p w14:paraId="3276CB39">
      <w:pPr>
        <w:pStyle w:val="67"/>
        <w:numPr>
          <w:ilvl w:val="0"/>
          <w:numId w:val="48"/>
        </w:numPr>
        <w:jc w:val="both"/>
        <w:rPr>
          <w:lang w:val="es-ES" w:eastAsia="es-ES" w:bidi="en-US"/>
        </w:rPr>
      </w:pPr>
      <w:r>
        <w:rPr>
          <w:lang w:val="es-ES" w:eastAsia="es-ES" w:bidi="en-US"/>
        </w:rPr>
        <w:t>No se aceptan inmuebles localizados en zonas catalogadas de riesgo así:</w:t>
      </w:r>
    </w:p>
    <w:p w14:paraId="7AF91581">
      <w:pPr>
        <w:ind w:left="720"/>
        <w:jc w:val="both"/>
        <w:rPr>
          <w:lang w:val="es-ES" w:eastAsia="es-ES" w:bidi="en-US"/>
        </w:rPr>
      </w:pPr>
      <w:r>
        <w:rPr>
          <w:lang w:val="es-ES" w:eastAsia="es-ES" w:bidi="en-US"/>
        </w:rPr>
        <w:t>- Social: violencia o inseguridad.</w:t>
      </w:r>
    </w:p>
    <w:p w14:paraId="38CF299C">
      <w:pPr>
        <w:ind w:left="720"/>
        <w:jc w:val="both"/>
        <w:rPr>
          <w:lang w:val="es-ES" w:eastAsia="es-ES" w:bidi="en-US"/>
        </w:rPr>
      </w:pPr>
      <w:r>
        <w:rPr>
          <w:lang w:val="es-ES" w:eastAsia="es-ES" w:bidi="en-US"/>
        </w:rPr>
        <w:t>- Inundaciones</w:t>
      </w:r>
    </w:p>
    <w:p w14:paraId="6258C693">
      <w:pPr>
        <w:ind w:left="720"/>
        <w:jc w:val="both"/>
        <w:rPr>
          <w:lang w:val="es-ES" w:eastAsia="es-ES" w:bidi="en-US"/>
        </w:rPr>
      </w:pPr>
      <w:r>
        <w:rPr>
          <w:lang w:val="es-ES" w:eastAsia="es-ES" w:bidi="en-US"/>
        </w:rPr>
        <w:t>- Volcanes</w:t>
      </w:r>
    </w:p>
    <w:p w14:paraId="67037F9C">
      <w:pPr>
        <w:ind w:left="720"/>
        <w:jc w:val="both"/>
        <w:rPr>
          <w:lang w:val="es-ES" w:eastAsia="es-ES" w:bidi="en-US"/>
        </w:rPr>
      </w:pPr>
      <w:r>
        <w:rPr>
          <w:lang w:val="es-ES" w:eastAsia="es-ES" w:bidi="en-US"/>
        </w:rPr>
        <w:t>- Derrumbes por topografía y/o calidad de los suelos.</w:t>
      </w:r>
    </w:p>
    <w:p w14:paraId="0C4367A1">
      <w:pPr>
        <w:jc w:val="both"/>
        <w:rPr>
          <w:lang w:val="es-ES" w:eastAsia="es-ES" w:bidi="en-US"/>
        </w:rPr>
      </w:pPr>
      <w:r>
        <w:rPr>
          <w:lang w:val="es-ES" w:eastAsia="es-ES" w:bidi="en-US"/>
        </w:rPr>
        <w:t>Los inmuebles a los cuales se les efectúa avalúo se clasifican de la siguiente manera:</w:t>
      </w:r>
    </w:p>
    <w:tbl>
      <w:tblPr>
        <w:tblStyle w:val="62"/>
        <w:tblW w:w="893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977"/>
        <w:gridCol w:w="2977"/>
        <w:gridCol w:w="2977"/>
      </w:tblGrid>
      <w:tr w14:paraId="730A58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 w:hRule="atLeast"/>
        </w:trPr>
        <w:tc>
          <w:tcPr>
            <w:tcW w:w="8931" w:type="dxa"/>
            <w:gridSpan w:val="3"/>
          </w:tcPr>
          <w:p w14:paraId="649CEBAE">
            <w:pPr>
              <w:widowControl w:val="0"/>
              <w:autoSpaceDE w:val="0"/>
              <w:autoSpaceDN w:val="0"/>
              <w:spacing w:after="0" w:line="240" w:lineRule="auto"/>
              <w:jc w:val="center"/>
              <w:rPr>
                <w:b/>
                <w:bCs/>
                <w:lang w:val="en-US"/>
              </w:rPr>
            </w:pPr>
            <w:bookmarkStart w:id="193" w:name="_Hlk179720024"/>
            <w:r>
              <w:rPr>
                <w:b/>
                <w:bCs/>
                <w:lang w:val="en-US"/>
              </w:rPr>
              <w:t>INMUEBLES</w:t>
            </w:r>
          </w:p>
        </w:tc>
      </w:tr>
      <w:tr w14:paraId="411607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2977" w:type="dxa"/>
            <w:tcBorders>
              <w:bottom w:val="single" w:color="auto" w:sz="4" w:space="0"/>
            </w:tcBorders>
          </w:tcPr>
          <w:p w14:paraId="6F02CA26">
            <w:pPr>
              <w:widowControl w:val="0"/>
              <w:autoSpaceDE w:val="0"/>
              <w:autoSpaceDN w:val="0"/>
              <w:spacing w:after="0" w:line="240" w:lineRule="auto"/>
              <w:jc w:val="center"/>
              <w:rPr>
                <w:b/>
                <w:bCs/>
                <w:lang w:val="en-US"/>
              </w:rPr>
            </w:pPr>
            <w:r>
              <w:rPr>
                <w:b/>
                <w:bCs/>
                <w:lang w:val="en-US"/>
              </w:rPr>
              <w:t>Residenciales</w:t>
            </w:r>
          </w:p>
        </w:tc>
        <w:tc>
          <w:tcPr>
            <w:tcW w:w="2977" w:type="dxa"/>
            <w:tcBorders>
              <w:bottom w:val="single" w:color="auto" w:sz="4" w:space="0"/>
            </w:tcBorders>
          </w:tcPr>
          <w:p w14:paraId="5912016C">
            <w:pPr>
              <w:widowControl w:val="0"/>
              <w:autoSpaceDE w:val="0"/>
              <w:autoSpaceDN w:val="0"/>
              <w:spacing w:after="0" w:line="240" w:lineRule="auto"/>
              <w:jc w:val="center"/>
              <w:rPr>
                <w:b/>
                <w:bCs/>
                <w:lang w:val="en-US"/>
              </w:rPr>
            </w:pPr>
            <w:r>
              <w:rPr>
                <w:b/>
                <w:bCs/>
                <w:lang w:val="en-US"/>
              </w:rPr>
              <w:t>Comerciales</w:t>
            </w:r>
          </w:p>
        </w:tc>
        <w:tc>
          <w:tcPr>
            <w:tcW w:w="2977" w:type="dxa"/>
            <w:tcBorders>
              <w:bottom w:val="single" w:color="auto" w:sz="4" w:space="0"/>
            </w:tcBorders>
          </w:tcPr>
          <w:p w14:paraId="22CD828C">
            <w:pPr>
              <w:widowControl w:val="0"/>
              <w:autoSpaceDE w:val="0"/>
              <w:autoSpaceDN w:val="0"/>
              <w:spacing w:after="0" w:line="240" w:lineRule="auto"/>
              <w:jc w:val="center"/>
              <w:rPr>
                <w:b/>
                <w:bCs/>
                <w:lang w:val="en-US"/>
              </w:rPr>
            </w:pPr>
            <w:r>
              <w:rPr>
                <w:b/>
                <w:bCs/>
                <w:lang w:val="en-US"/>
              </w:rPr>
              <w:t>Rurales</w:t>
            </w:r>
          </w:p>
        </w:tc>
      </w:tr>
      <w:bookmarkEnd w:id="193"/>
      <w:tr w14:paraId="65DE2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57" w:hRule="atLeast"/>
        </w:trPr>
        <w:tc>
          <w:tcPr>
            <w:tcW w:w="2977" w:type="dxa"/>
            <w:tcBorders>
              <w:top w:val="single" w:color="auto" w:sz="4" w:space="0"/>
              <w:left w:val="single" w:color="auto" w:sz="4" w:space="0"/>
              <w:bottom w:val="single" w:color="auto" w:sz="4" w:space="0"/>
              <w:right w:val="single" w:color="auto" w:sz="4" w:space="0"/>
            </w:tcBorders>
          </w:tcPr>
          <w:p w14:paraId="321E870D">
            <w:pPr>
              <w:widowControl w:val="0"/>
              <w:autoSpaceDE w:val="0"/>
              <w:autoSpaceDN w:val="0"/>
              <w:spacing w:after="0" w:line="240" w:lineRule="auto"/>
              <w:rPr>
                <w:lang w:val="en-US"/>
              </w:rPr>
            </w:pPr>
          </w:p>
          <w:p w14:paraId="582FBD7C">
            <w:pPr>
              <w:pStyle w:val="67"/>
              <w:widowControl w:val="0"/>
              <w:numPr>
                <w:ilvl w:val="0"/>
                <w:numId w:val="29"/>
              </w:numPr>
              <w:autoSpaceDE w:val="0"/>
              <w:autoSpaceDN w:val="0"/>
              <w:spacing w:after="0" w:line="240" w:lineRule="auto"/>
              <w:rPr>
                <w:lang w:val="en-US"/>
              </w:rPr>
            </w:pPr>
            <w:r>
              <w:rPr>
                <w:lang w:val="en-US"/>
              </w:rPr>
              <w:t>Casas</w:t>
            </w:r>
            <w:r>
              <w:rPr>
                <w:spacing w:val="-3"/>
                <w:lang w:val="en-US"/>
              </w:rPr>
              <w:t xml:space="preserve"> </w:t>
            </w:r>
            <w:r>
              <w:rPr>
                <w:lang w:val="en-US"/>
              </w:rPr>
              <w:t>unifamiliares</w:t>
            </w:r>
          </w:p>
          <w:p w14:paraId="33EECD9F">
            <w:pPr>
              <w:pStyle w:val="67"/>
              <w:widowControl w:val="0"/>
              <w:numPr>
                <w:ilvl w:val="0"/>
                <w:numId w:val="29"/>
              </w:numPr>
              <w:autoSpaceDE w:val="0"/>
              <w:autoSpaceDN w:val="0"/>
              <w:spacing w:after="0" w:line="240" w:lineRule="auto"/>
              <w:rPr>
                <w:spacing w:val="-47"/>
                <w:lang w:val="en-US"/>
              </w:rPr>
            </w:pPr>
            <w:r>
              <w:rPr>
                <w:lang w:val="en-US"/>
              </w:rPr>
              <w:t>Casas en conjunto cerrado</w:t>
            </w:r>
            <w:r>
              <w:rPr>
                <w:spacing w:val="-47"/>
                <w:lang w:val="en-US"/>
              </w:rPr>
              <w:t xml:space="preserve"> </w:t>
            </w:r>
          </w:p>
          <w:p w14:paraId="3A852DFE">
            <w:pPr>
              <w:pStyle w:val="67"/>
              <w:widowControl w:val="0"/>
              <w:numPr>
                <w:ilvl w:val="0"/>
                <w:numId w:val="29"/>
              </w:numPr>
              <w:autoSpaceDE w:val="0"/>
              <w:autoSpaceDN w:val="0"/>
              <w:spacing w:after="0" w:line="240" w:lineRule="auto"/>
              <w:rPr>
                <w:lang w:val="en-US"/>
              </w:rPr>
            </w:pPr>
            <w:r>
              <w:rPr>
                <w:lang w:val="en-US"/>
              </w:rPr>
              <w:t>Apartamentos</w:t>
            </w:r>
          </w:p>
          <w:p w14:paraId="404E6726">
            <w:pPr>
              <w:pStyle w:val="67"/>
              <w:widowControl w:val="0"/>
              <w:numPr>
                <w:ilvl w:val="0"/>
                <w:numId w:val="29"/>
              </w:numPr>
              <w:autoSpaceDE w:val="0"/>
              <w:autoSpaceDN w:val="0"/>
              <w:spacing w:after="0" w:line="240" w:lineRule="auto"/>
              <w:rPr>
                <w:lang w:val="en-US"/>
              </w:rPr>
            </w:pPr>
            <w:r>
              <w:rPr>
                <w:lang w:val="en-US"/>
              </w:rPr>
              <w:t>Edificio</w:t>
            </w:r>
          </w:p>
          <w:p w14:paraId="22422AFD">
            <w:pPr>
              <w:pStyle w:val="67"/>
              <w:widowControl w:val="0"/>
              <w:numPr>
                <w:ilvl w:val="0"/>
                <w:numId w:val="29"/>
              </w:numPr>
              <w:autoSpaceDE w:val="0"/>
              <w:autoSpaceDN w:val="0"/>
              <w:spacing w:after="0" w:line="240" w:lineRule="auto"/>
              <w:rPr>
                <w:lang w:val="en-US"/>
              </w:rPr>
            </w:pPr>
            <w:r>
              <w:rPr>
                <w:lang w:val="en-US"/>
              </w:rPr>
              <w:t>Parqueaderos</w:t>
            </w:r>
          </w:p>
          <w:p w14:paraId="5F77EAD9">
            <w:pPr>
              <w:pStyle w:val="67"/>
              <w:widowControl w:val="0"/>
              <w:numPr>
                <w:ilvl w:val="0"/>
                <w:numId w:val="29"/>
              </w:numPr>
              <w:autoSpaceDE w:val="0"/>
              <w:autoSpaceDN w:val="0"/>
              <w:spacing w:after="0" w:line="240" w:lineRule="auto"/>
              <w:rPr>
                <w:lang w:val="en-US"/>
              </w:rPr>
            </w:pPr>
            <w:r>
              <w:rPr>
                <w:lang w:val="en-US"/>
              </w:rPr>
              <w:t>Lotes urbanizados o no</w:t>
            </w:r>
            <w:r>
              <w:rPr>
                <w:spacing w:val="-47"/>
                <w:lang w:val="en-US"/>
              </w:rPr>
              <w:t xml:space="preserve">   </w:t>
            </w:r>
            <w:r>
              <w:rPr>
                <w:lang w:val="en-US"/>
              </w:rPr>
              <w:t>urbanizados</w:t>
            </w:r>
          </w:p>
        </w:tc>
        <w:tc>
          <w:tcPr>
            <w:tcW w:w="2977" w:type="dxa"/>
            <w:tcBorders>
              <w:top w:val="single" w:color="auto" w:sz="4" w:space="0"/>
              <w:left w:val="single" w:color="auto" w:sz="4" w:space="0"/>
              <w:bottom w:val="single" w:color="auto" w:sz="4" w:space="0"/>
              <w:right w:val="single" w:color="auto" w:sz="4" w:space="0"/>
            </w:tcBorders>
          </w:tcPr>
          <w:p w14:paraId="167976DA">
            <w:pPr>
              <w:widowControl w:val="0"/>
              <w:autoSpaceDE w:val="0"/>
              <w:autoSpaceDN w:val="0"/>
              <w:spacing w:after="0" w:line="240" w:lineRule="auto"/>
              <w:rPr>
                <w:lang w:val="en-US"/>
              </w:rPr>
            </w:pPr>
          </w:p>
          <w:p w14:paraId="0103792C">
            <w:pPr>
              <w:pStyle w:val="67"/>
              <w:widowControl w:val="0"/>
              <w:numPr>
                <w:ilvl w:val="0"/>
                <w:numId w:val="29"/>
              </w:numPr>
              <w:autoSpaceDE w:val="0"/>
              <w:autoSpaceDN w:val="0"/>
              <w:spacing w:after="0" w:line="240" w:lineRule="auto"/>
              <w:rPr>
                <w:lang w:val="en-US"/>
              </w:rPr>
            </w:pPr>
            <w:r>
              <w:rPr>
                <w:lang w:val="en-US"/>
              </w:rPr>
              <w:t>Bodegas</w:t>
            </w:r>
          </w:p>
          <w:p w14:paraId="71D8DA76">
            <w:pPr>
              <w:pStyle w:val="67"/>
              <w:widowControl w:val="0"/>
              <w:numPr>
                <w:ilvl w:val="0"/>
                <w:numId w:val="29"/>
              </w:numPr>
              <w:autoSpaceDE w:val="0"/>
              <w:autoSpaceDN w:val="0"/>
              <w:spacing w:after="0" w:line="240" w:lineRule="auto"/>
              <w:rPr>
                <w:lang w:val="en-US"/>
              </w:rPr>
            </w:pPr>
            <w:r>
              <w:rPr>
                <w:spacing w:val="-47"/>
                <w:lang w:val="en-US"/>
              </w:rPr>
              <w:t xml:space="preserve"> </w:t>
            </w:r>
            <w:r>
              <w:rPr>
                <w:lang w:val="en-US"/>
              </w:rPr>
              <w:t>Oficinas</w:t>
            </w:r>
            <w:r>
              <w:rPr>
                <w:spacing w:val="-47"/>
                <w:lang w:val="en-US"/>
              </w:rPr>
              <w:t xml:space="preserve"> </w:t>
            </w:r>
          </w:p>
          <w:p w14:paraId="2108F377">
            <w:pPr>
              <w:pStyle w:val="67"/>
              <w:widowControl w:val="0"/>
              <w:numPr>
                <w:ilvl w:val="0"/>
                <w:numId w:val="29"/>
              </w:numPr>
              <w:autoSpaceDE w:val="0"/>
              <w:autoSpaceDN w:val="0"/>
              <w:spacing w:after="0" w:line="240" w:lineRule="auto"/>
              <w:rPr>
                <w:lang w:val="en-US"/>
              </w:rPr>
            </w:pPr>
            <w:r>
              <w:rPr>
                <w:lang w:val="en-US"/>
              </w:rPr>
              <w:t>Edificios</w:t>
            </w:r>
            <w:r>
              <w:rPr>
                <w:spacing w:val="-47"/>
                <w:lang w:val="en-US"/>
              </w:rPr>
              <w:t xml:space="preserve"> </w:t>
            </w:r>
          </w:p>
          <w:p w14:paraId="5ABF8C2B">
            <w:pPr>
              <w:pStyle w:val="67"/>
              <w:widowControl w:val="0"/>
              <w:numPr>
                <w:ilvl w:val="0"/>
                <w:numId w:val="29"/>
              </w:numPr>
              <w:autoSpaceDE w:val="0"/>
              <w:autoSpaceDN w:val="0"/>
              <w:spacing w:after="0" w:line="240" w:lineRule="auto"/>
              <w:rPr>
                <w:lang w:val="en-US"/>
              </w:rPr>
            </w:pPr>
            <w:r>
              <w:rPr>
                <w:lang w:val="en-US"/>
              </w:rPr>
              <w:t>Locales</w:t>
            </w:r>
            <w:r>
              <w:rPr>
                <w:spacing w:val="1"/>
                <w:lang w:val="en-US"/>
              </w:rPr>
              <w:t xml:space="preserve"> </w:t>
            </w:r>
          </w:p>
          <w:p w14:paraId="4CD151E0">
            <w:pPr>
              <w:pStyle w:val="67"/>
              <w:widowControl w:val="0"/>
              <w:numPr>
                <w:ilvl w:val="0"/>
                <w:numId w:val="29"/>
              </w:numPr>
              <w:autoSpaceDE w:val="0"/>
              <w:autoSpaceDN w:val="0"/>
              <w:spacing w:after="0" w:line="240" w:lineRule="auto"/>
              <w:rPr>
                <w:lang w:val="en-US"/>
              </w:rPr>
            </w:pPr>
            <w:r>
              <w:rPr>
                <w:lang w:val="en-US"/>
              </w:rPr>
              <w:t>Hoteles</w:t>
            </w:r>
          </w:p>
          <w:p w14:paraId="23A0C982">
            <w:pPr>
              <w:pStyle w:val="67"/>
              <w:widowControl w:val="0"/>
              <w:numPr>
                <w:ilvl w:val="0"/>
                <w:numId w:val="29"/>
              </w:numPr>
              <w:autoSpaceDE w:val="0"/>
              <w:autoSpaceDN w:val="0"/>
              <w:spacing w:after="0" w:line="240" w:lineRule="auto"/>
              <w:rPr>
                <w:lang w:val="en-US"/>
              </w:rPr>
            </w:pPr>
            <w:r>
              <w:rPr>
                <w:lang w:val="en-US"/>
              </w:rPr>
              <w:t>Centros Médicos</w:t>
            </w:r>
          </w:p>
          <w:p w14:paraId="2AB2B26E">
            <w:pPr>
              <w:pStyle w:val="67"/>
              <w:widowControl w:val="0"/>
              <w:numPr>
                <w:ilvl w:val="0"/>
                <w:numId w:val="29"/>
              </w:numPr>
              <w:autoSpaceDE w:val="0"/>
              <w:autoSpaceDN w:val="0"/>
              <w:spacing w:after="0" w:line="240" w:lineRule="auto"/>
              <w:rPr>
                <w:lang w:val="en-US"/>
              </w:rPr>
            </w:pPr>
            <w:r>
              <w:rPr>
                <w:lang w:val="en-US"/>
              </w:rPr>
              <w:t>Instituciones Educativas</w:t>
            </w:r>
          </w:p>
          <w:p w14:paraId="153EDF8F">
            <w:pPr>
              <w:pStyle w:val="67"/>
              <w:widowControl w:val="0"/>
              <w:numPr>
                <w:ilvl w:val="0"/>
                <w:numId w:val="29"/>
              </w:numPr>
              <w:autoSpaceDE w:val="0"/>
              <w:autoSpaceDN w:val="0"/>
              <w:spacing w:after="0" w:line="240" w:lineRule="auto"/>
              <w:rPr>
                <w:lang w:val="en-US"/>
              </w:rPr>
            </w:pPr>
            <w:r>
              <w:rPr>
                <w:spacing w:val="-47"/>
                <w:lang w:val="en-US"/>
              </w:rPr>
              <w:t xml:space="preserve"> </w:t>
            </w:r>
            <w:r>
              <w:rPr>
                <w:lang w:val="en-US"/>
              </w:rPr>
              <w:t>Lotes urbanizados o no</w:t>
            </w:r>
            <w:r>
              <w:rPr>
                <w:spacing w:val="1"/>
                <w:lang w:val="en-US"/>
              </w:rPr>
              <w:t xml:space="preserve"> </w:t>
            </w:r>
            <w:r>
              <w:rPr>
                <w:lang w:val="en-US"/>
              </w:rPr>
              <w:t>urbanizados</w:t>
            </w:r>
          </w:p>
        </w:tc>
        <w:tc>
          <w:tcPr>
            <w:tcW w:w="2977" w:type="dxa"/>
            <w:tcBorders>
              <w:top w:val="single" w:color="auto" w:sz="4" w:space="0"/>
              <w:left w:val="single" w:color="auto" w:sz="4" w:space="0"/>
              <w:bottom w:val="single" w:color="auto" w:sz="4" w:space="0"/>
              <w:right w:val="single" w:color="auto" w:sz="4" w:space="0"/>
            </w:tcBorders>
          </w:tcPr>
          <w:p w14:paraId="28133AFB">
            <w:pPr>
              <w:widowControl w:val="0"/>
              <w:autoSpaceDE w:val="0"/>
              <w:autoSpaceDN w:val="0"/>
              <w:spacing w:after="0" w:line="240" w:lineRule="auto"/>
              <w:rPr>
                <w:lang w:val="en-US"/>
              </w:rPr>
            </w:pPr>
          </w:p>
          <w:p w14:paraId="10DE7083">
            <w:pPr>
              <w:pStyle w:val="67"/>
              <w:widowControl w:val="0"/>
              <w:numPr>
                <w:ilvl w:val="0"/>
                <w:numId w:val="29"/>
              </w:numPr>
              <w:autoSpaceDE w:val="0"/>
              <w:autoSpaceDN w:val="0"/>
              <w:spacing w:after="0" w:line="240" w:lineRule="auto"/>
              <w:rPr>
                <w:spacing w:val="-47"/>
                <w:lang w:val="en-US"/>
              </w:rPr>
            </w:pPr>
            <w:r>
              <w:rPr>
                <w:lang w:val="en-US"/>
              </w:rPr>
              <w:t>Fincas Productivas</w:t>
            </w:r>
            <w:r>
              <w:rPr>
                <w:spacing w:val="-47"/>
                <w:lang w:val="en-US"/>
              </w:rPr>
              <w:t xml:space="preserve"> </w:t>
            </w:r>
          </w:p>
          <w:p w14:paraId="48803D55">
            <w:pPr>
              <w:pStyle w:val="67"/>
              <w:widowControl w:val="0"/>
              <w:numPr>
                <w:ilvl w:val="0"/>
                <w:numId w:val="29"/>
              </w:numPr>
              <w:autoSpaceDE w:val="0"/>
              <w:autoSpaceDN w:val="0"/>
              <w:spacing w:after="0" w:line="240" w:lineRule="auto"/>
              <w:rPr>
                <w:spacing w:val="1"/>
                <w:lang w:val="en-US"/>
              </w:rPr>
            </w:pPr>
            <w:r>
              <w:rPr>
                <w:lang w:val="en-US"/>
              </w:rPr>
              <w:t>Fincas de Recreo</w:t>
            </w:r>
            <w:r>
              <w:rPr>
                <w:spacing w:val="1"/>
                <w:lang w:val="en-US"/>
              </w:rPr>
              <w:t xml:space="preserve"> </w:t>
            </w:r>
          </w:p>
          <w:p w14:paraId="5C8D8639">
            <w:pPr>
              <w:pStyle w:val="67"/>
              <w:widowControl w:val="0"/>
              <w:numPr>
                <w:ilvl w:val="0"/>
                <w:numId w:val="29"/>
              </w:numPr>
              <w:autoSpaceDE w:val="0"/>
              <w:autoSpaceDN w:val="0"/>
              <w:spacing w:after="0" w:line="240" w:lineRule="auto"/>
              <w:rPr>
                <w:spacing w:val="1"/>
                <w:lang w:val="en-US"/>
              </w:rPr>
            </w:pPr>
            <w:r>
              <w:rPr>
                <w:lang w:val="en-US"/>
              </w:rPr>
              <w:t>Terrenos</w:t>
            </w:r>
            <w:r>
              <w:rPr>
                <w:spacing w:val="1"/>
                <w:lang w:val="en-US"/>
              </w:rPr>
              <w:t xml:space="preserve"> </w:t>
            </w:r>
          </w:p>
          <w:p w14:paraId="3F4CDC39">
            <w:pPr>
              <w:pStyle w:val="67"/>
              <w:widowControl w:val="0"/>
              <w:numPr>
                <w:ilvl w:val="0"/>
                <w:numId w:val="29"/>
              </w:numPr>
              <w:autoSpaceDE w:val="0"/>
              <w:autoSpaceDN w:val="0"/>
              <w:spacing w:after="0" w:line="240" w:lineRule="auto"/>
              <w:rPr>
                <w:spacing w:val="1"/>
                <w:lang w:val="en-US"/>
              </w:rPr>
            </w:pPr>
            <w:r>
              <w:rPr>
                <w:lang w:val="en-US"/>
              </w:rPr>
              <w:t>Condominio</w:t>
            </w:r>
            <w:r>
              <w:rPr>
                <w:spacing w:val="1"/>
                <w:lang w:val="en-US"/>
              </w:rPr>
              <w:t xml:space="preserve"> </w:t>
            </w:r>
          </w:p>
          <w:p w14:paraId="04CA7459">
            <w:pPr>
              <w:pStyle w:val="67"/>
              <w:widowControl w:val="0"/>
              <w:numPr>
                <w:ilvl w:val="0"/>
                <w:numId w:val="29"/>
              </w:numPr>
              <w:autoSpaceDE w:val="0"/>
              <w:autoSpaceDN w:val="0"/>
              <w:spacing w:after="0" w:line="240" w:lineRule="auto"/>
              <w:rPr>
                <w:lang w:val="en-US"/>
              </w:rPr>
            </w:pPr>
            <w:r>
              <w:rPr>
                <w:lang w:val="en-US"/>
              </w:rPr>
              <w:t>Parcelaciones</w:t>
            </w:r>
          </w:p>
        </w:tc>
      </w:tr>
    </w:tbl>
    <w:p w14:paraId="1A1B2E5F">
      <w:pPr>
        <w:jc w:val="both"/>
        <w:rPr>
          <w:lang w:val="es-ES" w:eastAsia="es-ES" w:bidi="en-US"/>
        </w:rPr>
      </w:pPr>
    </w:p>
    <w:p w14:paraId="141065D7">
      <w:pPr>
        <w:pStyle w:val="3"/>
        <w:numPr>
          <w:ilvl w:val="0"/>
          <w:numId w:val="0"/>
        </w:numPr>
      </w:pPr>
      <w:bookmarkStart w:id="194" w:name="_Toc182642855"/>
      <w:r>
        <w:t>10.4 Constitución de Garantías</w:t>
      </w:r>
      <w:bookmarkEnd w:id="194"/>
    </w:p>
    <w:p w14:paraId="2771D5CA">
      <w:pPr>
        <w:jc w:val="both"/>
        <w:rPr>
          <w:lang w:val="es-ES" w:eastAsia="es-ES" w:bidi="en-US"/>
        </w:rPr>
      </w:pPr>
      <w:r>
        <w:rPr>
          <w:lang w:val="es-ES" w:eastAsia="es-ES" w:bidi="en-US"/>
        </w:rPr>
        <w:t>La garantía se constituye en un contrato subsidiario del contrato principal (pagaré) que es el representativo del crédito en sí.</w:t>
      </w:r>
    </w:p>
    <w:p w14:paraId="55236313">
      <w:pPr>
        <w:jc w:val="both"/>
        <w:rPr>
          <w:lang w:val="es-ES" w:eastAsia="es-ES" w:bidi="en-US"/>
        </w:rPr>
      </w:pPr>
      <w:r>
        <w:rPr>
          <w:lang w:val="es-ES" w:eastAsia="es-ES" w:bidi="en-US"/>
        </w:rPr>
        <w:t>Es importante tener presente que los bienes que posee la persona no garantizan su pago, la mayor garantía es su Solvencia Moral.</w:t>
      </w:r>
    </w:p>
    <w:p w14:paraId="26736455">
      <w:pPr>
        <w:jc w:val="both"/>
        <w:rPr>
          <w:lang w:val="es-ES" w:eastAsia="es-ES" w:bidi="en-US"/>
        </w:rPr>
      </w:pPr>
      <w:r>
        <w:rPr>
          <w:lang w:val="es-ES" w:eastAsia="es-ES" w:bidi="en-US"/>
        </w:rPr>
        <w:t>Las garantías generalmente aceptadas por COOPCALLEJONA son las que se registran en el presente manual, las cuales se definen así:</w:t>
      </w:r>
    </w:p>
    <w:p w14:paraId="38891D83">
      <w:pPr>
        <w:pStyle w:val="4"/>
        <w:rPr>
          <w:lang w:bidi="en-US"/>
        </w:rPr>
      </w:pPr>
      <w:bookmarkStart w:id="195" w:name="_Toc182642856"/>
      <w:r>
        <w:rPr>
          <w:lang w:bidi="en-US"/>
        </w:rPr>
        <w:t>10.4.1 Garantía Hipotecaria</w:t>
      </w:r>
      <w:bookmarkEnd w:id="195"/>
    </w:p>
    <w:p w14:paraId="612761B2">
      <w:pPr>
        <w:jc w:val="both"/>
        <w:rPr>
          <w:lang w:val="es-MX" w:eastAsia="es-CO" w:bidi="en-US"/>
        </w:rPr>
      </w:pPr>
      <w:r>
        <w:rPr>
          <w:lang w:val="es-MX" w:eastAsia="es-CO" w:bidi="en-US"/>
        </w:rPr>
        <w:t>La hipoteca es un contrato a través del cual se constituye una garantía admisible sobre un bien inmueble que da a la Cooperativa el derecho de perseguir el bien gravado en poder de quien se encuentre en caso que el asociado deudor incumpla con la obligación contraída.</w:t>
      </w:r>
    </w:p>
    <w:p w14:paraId="0FF09D27">
      <w:pPr>
        <w:jc w:val="both"/>
        <w:rPr>
          <w:lang w:val="es-MX" w:eastAsia="es-CO" w:bidi="en-US"/>
        </w:rPr>
      </w:pPr>
      <w:r>
        <w:rPr>
          <w:lang w:val="es-MX" w:eastAsia="es-CO" w:bidi="en-US"/>
        </w:rPr>
        <w:t>La hipoteca se otorga necesariamente mediante escritura pública y para que sea oponible a terceros debe registrarse en la Oficina de Registro de Instrumentos Públicos que corresponda a la dirección del inmueble.</w:t>
      </w:r>
    </w:p>
    <w:p w14:paraId="1CC987D5">
      <w:pPr>
        <w:jc w:val="both"/>
        <w:rPr>
          <w:lang w:val="es-MX" w:eastAsia="es-CO" w:bidi="en-US"/>
        </w:rPr>
      </w:pPr>
      <w:r>
        <w:rPr>
          <w:lang w:val="es-MX" w:eastAsia="es-CO" w:bidi="en-US"/>
        </w:rPr>
        <w:t>El contrato de hipoteca puede garantizar obligaciones propias o ajenas, por lo tanto, el bien hipotecado puede ser de propiedad del asociado deudor o del deudor solidario que especifica en este último caso que lo ofrece como garantía de las obligaciones del asociado deudor.</w:t>
      </w:r>
    </w:p>
    <w:p w14:paraId="7A6CC5BA">
      <w:pPr>
        <w:jc w:val="both"/>
        <w:rPr>
          <w:lang w:val="es-MX" w:eastAsia="es-CO" w:bidi="en-US"/>
        </w:rPr>
      </w:pPr>
    </w:p>
    <w:p w14:paraId="6E43784C">
      <w:pPr>
        <w:jc w:val="both"/>
        <w:rPr>
          <w:lang w:val="es-MX" w:eastAsia="es-CO" w:bidi="en-US"/>
        </w:rPr>
      </w:pPr>
      <w:r>
        <w:rPr>
          <w:lang w:val="es-MX" w:eastAsia="es-CO" w:bidi="en-US"/>
        </w:rPr>
        <w:t>Según el cubrimiento las hipotecas se clasifican en:</w:t>
      </w:r>
    </w:p>
    <w:p w14:paraId="2D6AF00D">
      <w:pPr>
        <w:pStyle w:val="67"/>
        <w:numPr>
          <w:ilvl w:val="0"/>
          <w:numId w:val="49"/>
        </w:numPr>
        <w:jc w:val="both"/>
        <w:rPr>
          <w:lang w:val="es-MX" w:eastAsia="es-CO" w:bidi="en-US"/>
        </w:rPr>
      </w:pPr>
      <w:r>
        <w:rPr>
          <w:lang w:val="es-MX" w:eastAsia="es-CO" w:bidi="en-US"/>
        </w:rPr>
        <w:t>Hipoteca Abierta: Es aquella hipoteca que garantiza una o varias obligaciones que haya contraído o que contraiga en un futuro el deudor.</w:t>
      </w:r>
    </w:p>
    <w:p w14:paraId="7A87E0AF">
      <w:pPr>
        <w:pStyle w:val="67"/>
        <w:numPr>
          <w:ilvl w:val="0"/>
          <w:numId w:val="49"/>
        </w:numPr>
        <w:jc w:val="both"/>
        <w:rPr>
          <w:lang w:val="es-MX" w:eastAsia="es-CO" w:bidi="en-US"/>
        </w:rPr>
      </w:pPr>
      <w:r>
        <w:rPr>
          <w:lang w:val="es-MX" w:eastAsia="es-CO" w:bidi="en-US"/>
        </w:rPr>
        <w:t>Hipoteca Cerrada: Es cerrada aquella que garantiza exclusivamente el pago de una o varias obligaciones determinadas por las partes en el contrato de hipoteca con límite de cuantía.</w:t>
      </w:r>
    </w:p>
    <w:p w14:paraId="712E4AC2">
      <w:pPr>
        <w:pStyle w:val="67"/>
        <w:numPr>
          <w:ilvl w:val="0"/>
          <w:numId w:val="49"/>
        </w:numPr>
        <w:jc w:val="both"/>
        <w:rPr>
          <w:lang w:val="es-MX" w:eastAsia="es-CO" w:bidi="en-US"/>
        </w:rPr>
      </w:pPr>
      <w:r>
        <w:rPr>
          <w:lang w:val="es-MX" w:eastAsia="es-CO" w:bidi="en-US"/>
        </w:rPr>
        <w:t>Hipoteca según la prelación de pagos (grados de la hipoteca): En relación con la preferencia con que se pagara el crédito, puede ser el primero, segundo o más grados. El grado de la hipoteca lo determina la fecha y la hora de registro en la Oficina de Instrumentos Públicos de la escritura por la cual se constituye el gravamen. El grado es un beneficio según el cual solo una vez satisfecho por completo el crédito del acreedor hipotecario de primer grado, se paga con el remanente al acreedor en segundo grado hasta su satisfacción o agotamiento del remanente; si aún hay saldo remanente y así sucesivamente.</w:t>
      </w:r>
    </w:p>
    <w:p w14:paraId="17F6DEBA">
      <w:pPr>
        <w:jc w:val="both"/>
        <w:rPr>
          <w:lang w:val="es-MX" w:eastAsia="es-CO" w:bidi="en-US"/>
        </w:rPr>
      </w:pPr>
      <w:r>
        <w:rPr>
          <w:lang w:val="es-MX" w:eastAsia="es-CO" w:bidi="en-US"/>
        </w:rPr>
        <w:t>Para todos los efectos solo se aceptará garantía hipotecaria en primer grado sin límite de cuantía y por término indefinido teniendo en cuenta efectuar el estudio de títulos, avalúo y seguro contra incendio y terremoto.</w:t>
      </w:r>
    </w:p>
    <w:p w14:paraId="369FAD45">
      <w:pPr>
        <w:jc w:val="both"/>
        <w:rPr>
          <w:lang w:val="es-MX" w:eastAsia="es-CO" w:bidi="en-US"/>
        </w:rPr>
      </w:pPr>
      <w:r>
        <w:rPr>
          <w:lang w:val="es-MX" w:eastAsia="es-CO" w:bidi="en-US"/>
        </w:rPr>
        <w:t>La cooperativa solo otorgará créditos hasta por el 70% del avalúo técnico practicado a la garantía admisible que se ofrece para bienes urbanos y por el 60% del avalúo técnico si se trata de bienes rurales y deberán asegurarse contra incendio y terremoto.</w:t>
      </w:r>
    </w:p>
    <w:p w14:paraId="26C6FB85">
      <w:pPr>
        <w:jc w:val="both"/>
        <w:rPr>
          <w:lang w:val="es-MX" w:eastAsia="es-CO" w:bidi="en-US"/>
        </w:rPr>
      </w:pPr>
      <w:r>
        <w:rPr>
          <w:lang w:val="es-MX" w:eastAsia="es-CO" w:bidi="en-US"/>
        </w:rPr>
        <w:t>Los bienes que se presenten para garantía deberán estar libres de todo gravamen y demostrada su completa propiedad.</w:t>
      </w:r>
    </w:p>
    <w:p w14:paraId="1E6639A1">
      <w:pPr>
        <w:pStyle w:val="4"/>
        <w:rPr>
          <w:lang w:bidi="en-US"/>
        </w:rPr>
      </w:pPr>
      <w:bookmarkStart w:id="196" w:name="_Toc182642857"/>
      <w:r>
        <w:rPr>
          <w:lang w:bidi="en-US"/>
        </w:rPr>
        <w:t>10.4.2 Prenda sin tenencia</w:t>
      </w:r>
      <w:bookmarkEnd w:id="196"/>
    </w:p>
    <w:p w14:paraId="65BC556E">
      <w:pPr>
        <w:jc w:val="both"/>
        <w:rPr>
          <w:lang w:val="es-MX" w:eastAsia="es-CO" w:bidi="en-US"/>
        </w:rPr>
      </w:pPr>
      <w:r>
        <w:rPr>
          <w:lang w:val="es-MX" w:eastAsia="es-CO" w:bidi="en-US"/>
        </w:rPr>
        <w:t>Es al igual que la hipoteca, un contrato accesorio de garantía, en la prenda comercial el acreedor permite al deudor que conserve la tenencia de los bienes.</w:t>
      </w:r>
    </w:p>
    <w:p w14:paraId="2AE53089">
      <w:pPr>
        <w:jc w:val="both"/>
        <w:rPr>
          <w:lang w:val="es-MX" w:eastAsia="es-CO" w:bidi="en-US"/>
        </w:rPr>
      </w:pPr>
      <w:r>
        <w:rPr>
          <w:lang w:val="es-MX" w:eastAsia="es-CO" w:bidi="en-US"/>
        </w:rPr>
        <w:t>La garantía prendaria se constituirá mediante un documento que debe ser registrado ante el organismo competente, dependiendo de la naturaleza del bien a pignorar.</w:t>
      </w:r>
    </w:p>
    <w:p w14:paraId="1BE22CCC">
      <w:pPr>
        <w:jc w:val="both"/>
        <w:rPr>
          <w:lang w:val="es-MX" w:eastAsia="es-CO" w:bidi="en-US"/>
        </w:rPr>
      </w:pPr>
      <w:r>
        <w:rPr>
          <w:lang w:val="es-MX" w:eastAsia="es-CO" w:bidi="en-US"/>
        </w:rPr>
        <w:t>La prenda sin tenencia se constituye por documento que puede ser público o privado, pero solo produce efectos contra terceros a partir de la fecha de su inscripción en el registro mercantil del lugar o lugares en que han de permanecer los bienes. De conformidad con lo establecido en la ley 1676 del 20 de agosto de 2013, reglamentada por el decreto 400 del 24 febrero de 2014, con el fin de darle oponibilidad a las garantías mobiliarias estas deben ser inscritas en el Sistema Unitario de Garantías mobiliarias, el cual administra CONFECAMARAS, y cuyo registro deberá ser realizado por la Gerencia de la Cooperativa; los costos serán asumidos por el deudor. Para el registro se requerirá Documento del contrato de prenda registrada ante la secretaria de Tránsito correspondiente, correo electrónico del asociado deudor, numero del teléfono y/o celular, dirección de residencia y actividad comercial del mismo. Una vez realizado el trámite se imprimirá el folio de la suscripción de la garantía.</w:t>
      </w:r>
    </w:p>
    <w:p w14:paraId="7BC5A321">
      <w:pPr>
        <w:jc w:val="both"/>
        <w:rPr>
          <w:lang w:val="es-MX" w:eastAsia="es-CO" w:bidi="en-US"/>
        </w:rPr>
      </w:pPr>
      <w:r>
        <w:rPr>
          <w:lang w:val="es-MX" w:eastAsia="es-CO" w:bidi="en-US"/>
        </w:rPr>
        <w:t>Todos los bienes recibidos en prenda deben estar amparados con póliza a favor de la cooperativa contra incendio y sustracción, y en el caso de vehículos contra todo riesgo, o en su defecto mediante firmas solidarias que sustituyan suficientemente la póliza de seguro.</w:t>
      </w:r>
    </w:p>
    <w:p w14:paraId="7B6F2F2E">
      <w:pPr>
        <w:pStyle w:val="4"/>
        <w:rPr>
          <w:lang w:bidi="en-US"/>
        </w:rPr>
      </w:pPr>
      <w:bookmarkStart w:id="197" w:name="_Toc182642858"/>
      <w:r>
        <w:rPr>
          <w:lang w:bidi="en-US"/>
        </w:rPr>
        <w:t>10.4.3 Prenda sobre vehículos</w:t>
      </w:r>
      <w:bookmarkEnd w:id="197"/>
    </w:p>
    <w:p w14:paraId="153638B6">
      <w:pPr>
        <w:jc w:val="both"/>
        <w:rPr>
          <w:lang w:val="es-MX" w:eastAsia="es-CO" w:bidi="en-US"/>
        </w:rPr>
      </w:pPr>
      <w:r>
        <w:rPr>
          <w:lang w:val="es-MX" w:eastAsia="es-CO" w:bidi="en-US"/>
        </w:rPr>
        <w:t>La garantía prendaria sobre vehículos se deberá constituir mediante un contrato de pignoración que debe ser registrado ante la oficina o dirección de tránsito y trasporte de la ciudad en la que este matriculado el vehículo automotor teniendo en cuenta que se deberá efectuar el avalúo y constitución del seguro contra todo riesgo, para el caso de vehículos nuevos la factura reemplaza el avalúo e instrumentos públicos.</w:t>
      </w:r>
    </w:p>
    <w:p w14:paraId="603272C0">
      <w:pPr>
        <w:jc w:val="both"/>
        <w:rPr>
          <w:lang w:val="es-MX" w:eastAsia="es-CO" w:bidi="en-US"/>
        </w:rPr>
      </w:pPr>
      <w:r>
        <w:rPr>
          <w:lang w:val="es-MX" w:eastAsia="es-CO" w:bidi="en-US"/>
        </w:rPr>
        <w:t>En ningún caso el monto de los créditos respaldados con este tipo de garantía podrá ser superior al 70% del avalúo.</w:t>
      </w:r>
    </w:p>
    <w:p w14:paraId="7B25F193">
      <w:pPr>
        <w:jc w:val="both"/>
        <w:rPr>
          <w:u w:val="single"/>
          <w:lang w:val="es-MX" w:eastAsia="es-CO" w:bidi="en-US"/>
        </w:rPr>
      </w:pPr>
      <w:r>
        <w:rPr>
          <w:u w:val="single"/>
          <w:lang w:val="es-MX" w:eastAsia="es-CO" w:bidi="en-US"/>
        </w:rPr>
        <w:t>Documentos requeridos para la prenda de vehículos nuevos:</w:t>
      </w:r>
    </w:p>
    <w:p w14:paraId="79B19666">
      <w:pPr>
        <w:pStyle w:val="67"/>
        <w:numPr>
          <w:ilvl w:val="0"/>
          <w:numId w:val="29"/>
        </w:numPr>
        <w:jc w:val="both"/>
        <w:rPr>
          <w:lang w:val="es-MX" w:eastAsia="es-CO" w:bidi="en-US"/>
        </w:rPr>
      </w:pPr>
      <w:r>
        <w:rPr>
          <w:lang w:val="es-MX" w:eastAsia="es-CO" w:bidi="en-US"/>
        </w:rPr>
        <w:t>Factura original, factura proforma o manifiesto de aduana</w:t>
      </w:r>
    </w:p>
    <w:p w14:paraId="2CE3CCF4">
      <w:pPr>
        <w:pStyle w:val="67"/>
        <w:numPr>
          <w:ilvl w:val="0"/>
          <w:numId w:val="29"/>
        </w:numPr>
        <w:jc w:val="both"/>
        <w:rPr>
          <w:lang w:val="es-MX" w:eastAsia="es-CO" w:bidi="en-US"/>
        </w:rPr>
      </w:pPr>
      <w:r>
        <w:rPr>
          <w:lang w:val="es-MX" w:eastAsia="es-CO" w:bidi="en-US"/>
        </w:rPr>
        <w:t>Improntas originales (último modelo), el cual deberá contener debidamente especificados los datos del vehículo avaluado, tales como número de placa, número de motor, número de chasis y de serie, color, marca, tipo, línea, clase de vehículo y valor.</w:t>
      </w:r>
    </w:p>
    <w:p w14:paraId="1FC1C9E7">
      <w:pPr>
        <w:pStyle w:val="67"/>
        <w:numPr>
          <w:ilvl w:val="0"/>
          <w:numId w:val="29"/>
        </w:numPr>
        <w:jc w:val="both"/>
        <w:rPr>
          <w:lang w:val="es-MX" w:eastAsia="es-CO" w:bidi="en-US"/>
        </w:rPr>
      </w:pPr>
      <w:r>
        <w:rPr>
          <w:lang w:val="es-MX" w:eastAsia="es-CO" w:bidi="en-US"/>
        </w:rPr>
        <w:t>Suscripción de contrato de prenda entre el asociado y el representante legal de la Cooperativa con firmas autenticadas ante Notario que incluye los datos anteriormente, relacionados.</w:t>
      </w:r>
    </w:p>
    <w:p w14:paraId="7E16D639">
      <w:pPr>
        <w:pStyle w:val="67"/>
        <w:numPr>
          <w:ilvl w:val="0"/>
          <w:numId w:val="29"/>
        </w:numPr>
        <w:jc w:val="both"/>
        <w:rPr>
          <w:lang w:val="es-MX" w:eastAsia="es-CO" w:bidi="en-US"/>
        </w:rPr>
      </w:pPr>
      <w:r>
        <w:rPr>
          <w:lang w:val="es-MX" w:eastAsia="es-CO" w:bidi="en-US"/>
        </w:rPr>
        <w:t>Sólo se aceptarán en prenda vehículos con máximo tres años de antigüedad, los documentos requeridos para la prenda de vehículos usados:</w:t>
      </w:r>
    </w:p>
    <w:p w14:paraId="11708EF3">
      <w:pPr>
        <w:pStyle w:val="67"/>
        <w:jc w:val="both"/>
        <w:rPr>
          <w:lang w:val="es-MX" w:eastAsia="es-CO" w:bidi="en-US"/>
        </w:rPr>
      </w:pPr>
    </w:p>
    <w:p w14:paraId="2AA18203">
      <w:pPr>
        <w:jc w:val="both"/>
        <w:rPr>
          <w:u w:val="single"/>
          <w:lang w:val="es-MX" w:eastAsia="es-CO" w:bidi="en-US"/>
        </w:rPr>
      </w:pPr>
      <w:r>
        <w:rPr>
          <w:u w:val="single"/>
          <w:lang w:val="es-MX" w:eastAsia="es-CO" w:bidi="en-US"/>
        </w:rPr>
        <w:t>Valor reportado por FASECOLDA</w:t>
      </w:r>
    </w:p>
    <w:p w14:paraId="11056C7B">
      <w:pPr>
        <w:pStyle w:val="67"/>
        <w:numPr>
          <w:ilvl w:val="0"/>
          <w:numId w:val="29"/>
        </w:numPr>
        <w:jc w:val="both"/>
        <w:rPr>
          <w:lang w:val="es-MX" w:eastAsia="es-CO" w:bidi="en-US"/>
        </w:rPr>
      </w:pPr>
      <w:r>
        <w:rPr>
          <w:lang w:val="es-MX" w:eastAsia="es-CO" w:bidi="en-US"/>
        </w:rPr>
        <w:t>Copia de la tarjeta de propiedad</w:t>
      </w:r>
    </w:p>
    <w:p w14:paraId="181F77CA">
      <w:pPr>
        <w:pStyle w:val="67"/>
        <w:numPr>
          <w:ilvl w:val="0"/>
          <w:numId w:val="29"/>
        </w:numPr>
        <w:jc w:val="both"/>
        <w:rPr>
          <w:lang w:val="es-MX" w:eastAsia="es-CO" w:bidi="en-US"/>
        </w:rPr>
      </w:pPr>
      <w:r>
        <w:rPr>
          <w:lang w:val="es-MX" w:eastAsia="es-CO" w:bidi="en-US"/>
        </w:rPr>
        <w:t>Suscripción de contrato de prenda entre el asociado y el representante legal de La Cooperativa con firmas autenticadas ante Notario que incluye los datos anteriormente, relacionados.</w:t>
      </w:r>
    </w:p>
    <w:p w14:paraId="352CAE5A">
      <w:pPr>
        <w:pStyle w:val="67"/>
        <w:numPr>
          <w:ilvl w:val="0"/>
          <w:numId w:val="29"/>
        </w:numPr>
        <w:jc w:val="both"/>
        <w:rPr>
          <w:lang w:val="es-MX" w:eastAsia="es-CO" w:bidi="en-US"/>
        </w:rPr>
      </w:pPr>
      <w:r>
        <w:rPr>
          <w:lang w:val="es-MX" w:eastAsia="es-CO" w:bidi="en-US"/>
        </w:rPr>
        <w:t>Cuando se trate de vehículos usados solicitar el informe técnico de la SIJIN.</w:t>
      </w:r>
    </w:p>
    <w:p w14:paraId="59936295">
      <w:pPr>
        <w:pStyle w:val="4"/>
        <w:rPr>
          <w:lang w:bidi="en-US"/>
        </w:rPr>
      </w:pPr>
      <w:bookmarkStart w:id="198" w:name="_Toc182642859"/>
      <w:r>
        <w:rPr>
          <w:lang w:bidi="en-US"/>
        </w:rPr>
        <w:t>10.4.4 Endoso Certificado de Deposito a Termino</w:t>
      </w:r>
      <w:bookmarkEnd w:id="198"/>
    </w:p>
    <w:p w14:paraId="4AF695DE">
      <w:pPr>
        <w:jc w:val="both"/>
        <w:rPr>
          <w:lang w:val="es-MX" w:eastAsia="es-CO" w:bidi="en-US"/>
        </w:rPr>
      </w:pPr>
      <w:r>
        <w:rPr>
          <w:lang w:val="es-MX" w:eastAsia="es-CO" w:bidi="en-US"/>
        </w:rPr>
        <w:t>Sólo los documentos que representen títulos valores podrán ser recibidos como garantía y contabilizados como tal, como es el caso de los CDT emitidos por entidades financieras.</w:t>
      </w:r>
    </w:p>
    <w:p w14:paraId="2B6BEA7C">
      <w:pPr>
        <w:pStyle w:val="4"/>
        <w:rPr>
          <w:lang w:bidi="en-US"/>
        </w:rPr>
      </w:pPr>
      <w:bookmarkStart w:id="199" w:name="_Toc182642860"/>
      <w:r>
        <w:rPr>
          <w:lang w:bidi="en-US"/>
        </w:rPr>
        <w:t>10.4.5 Garantías emitidas por fondos de garantías</w:t>
      </w:r>
      <w:bookmarkEnd w:id="199"/>
    </w:p>
    <w:p w14:paraId="5F477DF1">
      <w:pPr>
        <w:jc w:val="both"/>
        <w:rPr>
          <w:lang w:val="es-MX" w:eastAsia="es-CO" w:bidi="en-US"/>
        </w:rPr>
      </w:pPr>
      <w:r>
        <w:rPr>
          <w:lang w:val="es-MX" w:eastAsia="es-CO" w:bidi="en-US"/>
        </w:rPr>
        <w:t>Los Fondos de Garantías actúan como fiador institucional para respaldar la financiación de los asociados, a través de las garantías crediticias.</w:t>
      </w:r>
    </w:p>
    <w:p w14:paraId="54B77AEA">
      <w:pPr>
        <w:jc w:val="both"/>
        <w:rPr>
          <w:lang w:val="es-MX" w:eastAsia="es-CO" w:bidi="en-US"/>
        </w:rPr>
      </w:pPr>
      <w:r>
        <w:rPr>
          <w:lang w:val="es-MX" w:eastAsia="es-CO" w:bidi="en-US"/>
        </w:rPr>
        <w:t>La relación que existe entre los fondos y los intermediarios financieros, se basa en la suscripción de un convenio de garantía, mediante el cual el fondo, en su calidad de fiador subsidiario, garantiza los créditos que los intermediarios financieros confieren a los usuarios de sus servicios crediticios, en razón del incumplimiento de estos o sus codeudores. Es decir, cuando hay incumplimiento en el pago del crédito por parte de los deudores, el fondo les paga a los intermediarios financieros como fiador de ese crédito y luego le puede recobrar al deudor inicial.</w:t>
      </w:r>
    </w:p>
    <w:p w14:paraId="45323F5A">
      <w:pPr>
        <w:jc w:val="both"/>
        <w:rPr>
          <w:lang w:val="es-MX" w:eastAsia="es-CO" w:bidi="en-US"/>
        </w:rPr>
      </w:pPr>
      <w:r>
        <w:rPr>
          <w:lang w:val="es-MX" w:eastAsia="es-CO" w:bidi="en-US"/>
        </w:rPr>
        <w:t>Las operaciones de crédito que utilicen este tipo de garantía, se harán únicamente con las entidades autorizadas por la administración y podrán respaldar obligaciones hasta 6 SMMLV. Esto aplica, tanto para asociados antiguos, como asociados nuevos de la Cooperativa y es decisión del ente de aprobación que corresponda, la solicitud de garantías o respaldos adicionales.</w:t>
      </w:r>
    </w:p>
    <w:p w14:paraId="74085D69">
      <w:pPr>
        <w:pStyle w:val="3"/>
        <w:numPr>
          <w:ilvl w:val="0"/>
          <w:numId w:val="0"/>
        </w:numPr>
      </w:pPr>
      <w:bookmarkStart w:id="200" w:name="_Toc182642861"/>
      <w:r>
        <w:t>10.5 Seguros</w:t>
      </w:r>
      <w:bookmarkEnd w:id="200"/>
    </w:p>
    <w:p w14:paraId="5ACC7452">
      <w:pPr>
        <w:jc w:val="both"/>
        <w:rPr>
          <w:lang w:val="es-ES" w:eastAsia="es-ES" w:bidi="en-US"/>
        </w:rPr>
      </w:pPr>
      <w:r>
        <w:rPr>
          <w:lang w:val="es-ES" w:eastAsia="es-ES" w:bidi="en-US"/>
        </w:rPr>
        <w:t>Los bienes raíces hipotecados a favor de la Cooperativa deben estar asegurados contra incendio y terremoto; la póliza de seguro debe ser debidamente extendida a favor de la Cooperativa y deberá reposar en los archivos solicitándose renovación de la misma a su vencimiento.</w:t>
      </w:r>
    </w:p>
    <w:p w14:paraId="70975C4E">
      <w:pPr>
        <w:jc w:val="both"/>
        <w:rPr>
          <w:lang w:val="es-ES" w:eastAsia="es-ES" w:bidi="en-US"/>
        </w:rPr>
      </w:pPr>
      <w:r>
        <w:rPr>
          <w:lang w:val="es-ES" w:eastAsia="es-ES" w:bidi="en-US"/>
        </w:rPr>
        <w:t>La póliza debe cumplir con los siguientes requisitos:</w:t>
      </w:r>
    </w:p>
    <w:p w14:paraId="79BD1977">
      <w:pPr>
        <w:jc w:val="both"/>
        <w:rPr>
          <w:lang w:val="es-ES" w:eastAsia="es-ES" w:bidi="en-US"/>
        </w:rPr>
      </w:pPr>
    </w:p>
    <w:p w14:paraId="6686D141">
      <w:pPr>
        <w:pStyle w:val="67"/>
        <w:numPr>
          <w:ilvl w:val="0"/>
          <w:numId w:val="50"/>
        </w:numPr>
        <w:jc w:val="both"/>
        <w:rPr>
          <w:lang w:val="es-ES" w:eastAsia="es-ES" w:bidi="en-US"/>
        </w:rPr>
      </w:pPr>
      <w:r>
        <w:rPr>
          <w:lang w:val="es-ES" w:eastAsia="es-ES" w:bidi="en-US"/>
        </w:rPr>
        <w:t>Debe ser expedida por una compañía de seguros legalmente establecida en Colombia.</w:t>
      </w:r>
    </w:p>
    <w:p w14:paraId="5D16A186">
      <w:pPr>
        <w:pStyle w:val="67"/>
        <w:numPr>
          <w:ilvl w:val="0"/>
          <w:numId w:val="50"/>
        </w:numPr>
        <w:jc w:val="both"/>
        <w:rPr>
          <w:lang w:val="es-ES" w:eastAsia="es-ES" w:bidi="en-US"/>
        </w:rPr>
      </w:pPr>
      <w:r>
        <w:rPr>
          <w:lang w:val="es-ES" w:eastAsia="es-ES" w:bidi="en-US"/>
        </w:rPr>
        <w:t>El primer beneficiario debe ser la Cooperativa, se podrá aceptar endoso de póliza como segundo beneficiario cuando corresponda a hipotecas en segundo grado, previo consentimiento del primer beneficiario que debe corresponder a una entidad financiera.</w:t>
      </w:r>
    </w:p>
    <w:p w14:paraId="4590AD87">
      <w:pPr>
        <w:pStyle w:val="67"/>
        <w:numPr>
          <w:ilvl w:val="0"/>
          <w:numId w:val="50"/>
        </w:numPr>
        <w:jc w:val="both"/>
        <w:rPr>
          <w:lang w:val="es-ES" w:eastAsia="es-ES" w:bidi="en-US"/>
        </w:rPr>
      </w:pPr>
      <w:r>
        <w:rPr>
          <w:lang w:val="es-ES" w:eastAsia="es-ES" w:bidi="en-US"/>
        </w:rPr>
        <w:t>Renovación automática por periodos de un (1) año.</w:t>
      </w:r>
    </w:p>
    <w:p w14:paraId="63478892">
      <w:pPr>
        <w:jc w:val="both"/>
        <w:rPr>
          <w:lang w:val="es-ES" w:eastAsia="es-ES" w:bidi="en-US"/>
        </w:rPr>
      </w:pPr>
      <w:r>
        <w:rPr>
          <w:lang w:val="es-ES" w:eastAsia="es-ES" w:bidi="en-US"/>
        </w:rPr>
        <w:t>En caso de pignoración de vehículos debe solicitarse seguro contra todo riesgo a favor de la Cooperativa.</w:t>
      </w:r>
    </w:p>
    <w:p w14:paraId="5A5B7380">
      <w:pPr>
        <w:pStyle w:val="67"/>
        <w:numPr>
          <w:ilvl w:val="0"/>
          <w:numId w:val="51"/>
        </w:numPr>
        <w:jc w:val="both"/>
        <w:rPr>
          <w:b/>
          <w:bCs/>
          <w:u w:val="single"/>
          <w:lang w:val="es-ES" w:eastAsia="es-ES" w:bidi="en-US"/>
        </w:rPr>
      </w:pPr>
      <w:r>
        <w:rPr>
          <w:b/>
          <w:bCs/>
          <w:u w:val="single"/>
          <w:lang w:val="es-ES" w:eastAsia="es-ES" w:bidi="en-US"/>
        </w:rPr>
        <w:t>Descuento de seguro de vida</w:t>
      </w:r>
    </w:p>
    <w:p w14:paraId="654CAC56">
      <w:pPr>
        <w:jc w:val="both"/>
        <w:rPr>
          <w:lang w:val="es-ES" w:eastAsia="es-ES" w:bidi="en-US"/>
        </w:rPr>
      </w:pPr>
      <w:r>
        <w:rPr>
          <w:lang w:val="es-ES" w:eastAsia="es-ES" w:bidi="en-US"/>
        </w:rPr>
        <w:t>La póliza de seguros de vida deudores no se contratará individualmente ya que la cooperativa mediante suscripción de una póliza global protegerá a todos los deudores, con excepción de las personas mayores de 74 años y 363 dias y de aquellas que a juicio de la aseguradora no son asegurables. Este tipo de póliza ampara los riesgos de invalidez y muerte, y reconoce el 100% del saldo de la deuda en el momento del siniestro.</w:t>
      </w:r>
    </w:p>
    <w:p w14:paraId="497C3F4D">
      <w:pPr>
        <w:jc w:val="both"/>
        <w:rPr>
          <w:lang w:val="es-ES" w:eastAsia="es-ES" w:bidi="en-US"/>
        </w:rPr>
      </w:pPr>
      <w:r>
        <w:rPr>
          <w:lang w:val="es-ES" w:eastAsia="es-ES" w:bidi="en-US"/>
        </w:rPr>
        <w:t>Cuando la póliza global no cubra al deudor entonces se deberá informar al asociado sobre la posibilidad de adquirir otro tipo de póliza, de no ser aceptada entonces quedará por escrito que a voluntad del deudor y codeudores el crédito queda sin seguro de vida y que será responsabilidad de los codeudores o familiar responsable el pago de la deuda en caso de fallecimiento del deudor, para lo cual tanto el deudor como codeudores firmaran la carta de conocimiento y aceptación de responsabilidad de pago en caso de fallecimiento del deudor.F-CRE-10.</w:t>
      </w:r>
    </w:p>
    <w:p w14:paraId="4A911C44">
      <w:pPr>
        <w:pStyle w:val="3"/>
        <w:numPr>
          <w:ilvl w:val="0"/>
          <w:numId w:val="0"/>
        </w:numPr>
      </w:pPr>
      <w:bookmarkStart w:id="201" w:name="_Toc182642862"/>
      <w:r>
        <w:t>10.6 Legalización de Garantías</w:t>
      </w:r>
      <w:bookmarkEnd w:id="201"/>
    </w:p>
    <w:p w14:paraId="444BC3E9">
      <w:pPr>
        <w:jc w:val="both"/>
        <w:rPr>
          <w:lang w:val="es-ES" w:eastAsia="es-ES" w:bidi="en-US"/>
        </w:rPr>
      </w:pPr>
      <w:r>
        <w:rPr>
          <w:lang w:val="es-ES" w:eastAsia="es-ES" w:bidi="en-US"/>
        </w:rPr>
        <w:t>Una vez aprobado el crédito, previo a su desembolso, el asociado procederá a constituir las garantías que le fueron exigidas por el órgano competente, para lo cual se tendrá en cuenta la normatividad ya establecida.</w:t>
      </w:r>
    </w:p>
    <w:p w14:paraId="1C21CB73">
      <w:pPr>
        <w:jc w:val="both"/>
        <w:rPr>
          <w:lang w:val="es-ES" w:eastAsia="es-ES" w:bidi="en-US"/>
        </w:rPr>
      </w:pPr>
      <w:r>
        <w:rPr>
          <w:lang w:val="es-ES" w:eastAsia="es-ES" w:bidi="en-US"/>
        </w:rPr>
        <w:t>En el caso de un crédito garantizado con un inmueble se efectuará el desembolso cuando el asociado entregue a la Cooperativa.</w:t>
      </w:r>
    </w:p>
    <w:p w14:paraId="5786AF9A">
      <w:pPr>
        <w:pStyle w:val="67"/>
        <w:numPr>
          <w:ilvl w:val="0"/>
          <w:numId w:val="51"/>
        </w:numPr>
        <w:jc w:val="both"/>
        <w:rPr>
          <w:lang w:val="es-ES" w:eastAsia="es-ES" w:bidi="en-US"/>
        </w:rPr>
      </w:pPr>
      <w:r>
        <w:rPr>
          <w:lang w:val="es-ES" w:eastAsia="es-ES" w:bidi="en-US"/>
        </w:rPr>
        <w:t>Primera copia de la escritura de hipoteca a favor de la Cooperativa, debidamente registrada ante la oficina de Registro de Instrumentos Públicos.</w:t>
      </w:r>
    </w:p>
    <w:p w14:paraId="650B82F5">
      <w:pPr>
        <w:pStyle w:val="67"/>
        <w:numPr>
          <w:ilvl w:val="0"/>
          <w:numId w:val="51"/>
        </w:numPr>
        <w:jc w:val="both"/>
        <w:rPr>
          <w:lang w:val="es-ES" w:eastAsia="es-ES" w:bidi="en-US"/>
        </w:rPr>
      </w:pPr>
      <w:r>
        <w:rPr>
          <w:lang w:val="es-ES" w:eastAsia="es-ES" w:bidi="en-US"/>
        </w:rPr>
        <w:t>Certificado de Libertad y Tradición con la anotación correspondiente.</w:t>
      </w:r>
    </w:p>
    <w:p w14:paraId="05ABCCF2">
      <w:pPr>
        <w:pStyle w:val="67"/>
        <w:numPr>
          <w:ilvl w:val="0"/>
          <w:numId w:val="51"/>
        </w:numPr>
        <w:jc w:val="both"/>
        <w:rPr>
          <w:lang w:val="es-ES" w:eastAsia="es-ES" w:bidi="en-US"/>
        </w:rPr>
      </w:pPr>
      <w:r>
        <w:rPr>
          <w:lang w:val="es-ES" w:eastAsia="es-ES" w:bidi="en-US"/>
        </w:rPr>
        <w:t>Póliza de seguro contra todo riesgo a favor de la Cooperativa.</w:t>
      </w:r>
    </w:p>
    <w:p w14:paraId="2AE20E85">
      <w:pPr>
        <w:jc w:val="both"/>
        <w:rPr>
          <w:lang w:val="es-ES" w:eastAsia="es-ES" w:bidi="en-US"/>
        </w:rPr>
      </w:pPr>
    </w:p>
    <w:p w14:paraId="5561B77F">
      <w:pPr>
        <w:jc w:val="both"/>
        <w:rPr>
          <w:lang w:val="es-ES" w:eastAsia="es-ES" w:bidi="en-US"/>
        </w:rPr>
      </w:pPr>
      <w:r>
        <w:rPr>
          <w:lang w:val="es-ES" w:eastAsia="es-ES" w:bidi="en-US"/>
        </w:rPr>
        <w:t>En la modalidad de vehículos, se hará el desembolso cuando el asociado presente:</w:t>
      </w:r>
    </w:p>
    <w:p w14:paraId="20C95F60">
      <w:pPr>
        <w:pStyle w:val="67"/>
        <w:numPr>
          <w:ilvl w:val="0"/>
          <w:numId w:val="52"/>
        </w:numPr>
        <w:jc w:val="both"/>
        <w:rPr>
          <w:lang w:val="es-ES" w:eastAsia="es-ES" w:bidi="en-US"/>
        </w:rPr>
      </w:pPr>
      <w:r>
        <w:rPr>
          <w:lang w:val="es-ES" w:eastAsia="es-ES" w:bidi="en-US"/>
        </w:rPr>
        <w:t>Fotocopia autenticada de la Tarjeta de Propiedad con anotación de reserva de dominio a favor de la Cooperativa.</w:t>
      </w:r>
    </w:p>
    <w:p w14:paraId="46E65BAA">
      <w:pPr>
        <w:pStyle w:val="67"/>
        <w:numPr>
          <w:ilvl w:val="0"/>
          <w:numId w:val="52"/>
        </w:numPr>
        <w:jc w:val="both"/>
        <w:rPr>
          <w:lang w:val="es-ES" w:eastAsia="es-ES" w:bidi="en-US"/>
        </w:rPr>
      </w:pPr>
      <w:r>
        <w:rPr>
          <w:lang w:val="es-ES" w:eastAsia="es-ES" w:bidi="en-US"/>
        </w:rPr>
        <w:t>Póliza de seguro contra todo riesgo a favor de la Cooperativa.</w:t>
      </w:r>
    </w:p>
    <w:p w14:paraId="497CB89B">
      <w:pPr>
        <w:jc w:val="both"/>
        <w:rPr>
          <w:lang w:val="es-ES" w:eastAsia="es-ES" w:bidi="en-US"/>
        </w:rPr>
      </w:pPr>
      <w:r>
        <w:rPr>
          <w:lang w:val="es-ES" w:eastAsia="es-ES" w:bidi="en-US"/>
        </w:rPr>
        <w:t>Los trámites y costos que generen la legalización de las garantías estarán a cargo y serán de absoluta responsabilidad del asociado deudor.</w:t>
      </w:r>
    </w:p>
    <w:p w14:paraId="50C2FD75">
      <w:pPr>
        <w:jc w:val="both"/>
        <w:rPr>
          <w:lang w:val="es-ES" w:eastAsia="es-ES" w:bidi="en-US"/>
        </w:rPr>
      </w:pPr>
      <w:r>
        <w:rPr>
          <w:lang w:val="es-ES" w:eastAsia="es-ES" w:bidi="en-US"/>
        </w:rPr>
        <w:t>El plazo para la legalización de la garantía se establece, a partir de la fecha de aprobación, así:</w:t>
      </w:r>
    </w:p>
    <w:p w14:paraId="6382419A">
      <w:pPr>
        <w:pStyle w:val="67"/>
        <w:numPr>
          <w:ilvl w:val="0"/>
          <w:numId w:val="53"/>
        </w:numPr>
        <w:jc w:val="both"/>
        <w:rPr>
          <w:lang w:val="es-ES" w:eastAsia="es-ES" w:bidi="en-US"/>
        </w:rPr>
      </w:pPr>
      <w:r>
        <w:rPr>
          <w:lang w:val="es-ES" w:eastAsia="es-ES" w:bidi="en-US"/>
        </w:rPr>
        <w:t>Garantía Personal máximo treinta (30) días calendario.</w:t>
      </w:r>
    </w:p>
    <w:p w14:paraId="17A7E72F">
      <w:pPr>
        <w:pStyle w:val="67"/>
        <w:numPr>
          <w:ilvl w:val="0"/>
          <w:numId w:val="53"/>
        </w:numPr>
        <w:jc w:val="both"/>
        <w:rPr>
          <w:lang w:val="es-ES" w:eastAsia="es-ES" w:bidi="en-US"/>
        </w:rPr>
      </w:pPr>
      <w:r>
        <w:rPr>
          <w:lang w:val="es-ES" w:eastAsia="es-ES" w:bidi="en-US"/>
        </w:rPr>
        <w:t>Garantía Real. máximo sesenta (60) días calendario.</w:t>
      </w:r>
    </w:p>
    <w:p w14:paraId="1F5CB9F6">
      <w:pPr>
        <w:jc w:val="both"/>
        <w:rPr>
          <w:lang w:val="es-ES" w:eastAsia="es-ES" w:bidi="en-US"/>
        </w:rPr>
      </w:pPr>
      <w:r>
        <w:rPr>
          <w:lang w:val="es-ES" w:eastAsia="es-ES" w:bidi="en-US"/>
        </w:rPr>
        <w:t>Vencido este plazo, según corresponda, el crédito aprobado queda anulado.</w:t>
      </w:r>
    </w:p>
    <w:p w14:paraId="247FC274">
      <w:pPr>
        <w:pStyle w:val="3"/>
        <w:numPr>
          <w:ilvl w:val="0"/>
          <w:numId w:val="0"/>
        </w:numPr>
      </w:pPr>
      <w:bookmarkStart w:id="202" w:name="_Toc182642863"/>
      <w:r>
        <w:t>10.7 Administración y custodia de las garantías</w:t>
      </w:r>
      <w:bookmarkEnd w:id="202"/>
    </w:p>
    <w:p w14:paraId="1A6543B1">
      <w:pPr>
        <w:jc w:val="both"/>
        <w:rPr>
          <w:lang w:val="es-ES" w:eastAsia="es-ES" w:bidi="en-US"/>
        </w:rPr>
      </w:pPr>
      <w:r>
        <w:rPr>
          <w:lang w:val="es-ES" w:eastAsia="es-ES" w:bidi="en-US"/>
        </w:rPr>
        <w:t>Considerando la importancia de la garantía en la recuperación de los recursos colocados, la cooperativa propenderá por un seguimiento a los aspectos inherentes a la misma que de alguna manera garanticen su utilización como mecanismo de recuperación.</w:t>
      </w:r>
    </w:p>
    <w:p w14:paraId="467C7593">
      <w:pPr>
        <w:jc w:val="both"/>
        <w:rPr>
          <w:lang w:val="es-ES" w:eastAsia="es-ES" w:bidi="en-US"/>
        </w:rPr>
      </w:pPr>
      <w:r>
        <w:rPr>
          <w:lang w:val="es-ES" w:eastAsia="es-ES" w:bidi="en-US"/>
        </w:rPr>
        <w:t>Se debe llevar un registro sistematizado de las garantías constituidas, para su administración y control. Una vez constituida la garantía, el área encargada de la custodia deberá registrar los datos correspondientes al tipo de garantía, y se deberá realizar su contabilización en cuentas de orden.</w:t>
      </w:r>
    </w:p>
    <w:p w14:paraId="27C82724">
      <w:pPr>
        <w:jc w:val="both"/>
        <w:rPr>
          <w:lang w:val="es-ES" w:eastAsia="es-ES" w:bidi="en-US"/>
        </w:rPr>
      </w:pPr>
      <w:r>
        <w:rPr>
          <w:lang w:val="es-ES" w:eastAsia="es-ES" w:bidi="en-US"/>
        </w:rPr>
        <w:t>Los datos mínimos que se registran para todos los tipos de garantías son los siguientes:</w:t>
      </w:r>
    </w:p>
    <w:p w14:paraId="449245E0">
      <w:pPr>
        <w:pStyle w:val="67"/>
        <w:numPr>
          <w:ilvl w:val="0"/>
          <w:numId w:val="54"/>
        </w:numPr>
        <w:jc w:val="both"/>
        <w:rPr>
          <w:lang w:val="es-ES" w:eastAsia="es-ES" w:bidi="en-US"/>
        </w:rPr>
      </w:pPr>
      <w:r>
        <w:rPr>
          <w:lang w:val="es-ES" w:eastAsia="es-ES" w:bidi="en-US"/>
        </w:rPr>
        <w:t>Identificación de la garantía.</w:t>
      </w:r>
    </w:p>
    <w:p w14:paraId="3A8F8C40">
      <w:pPr>
        <w:pStyle w:val="67"/>
        <w:numPr>
          <w:ilvl w:val="0"/>
          <w:numId w:val="54"/>
        </w:numPr>
        <w:jc w:val="both"/>
        <w:rPr>
          <w:lang w:val="es-ES" w:eastAsia="es-ES" w:bidi="en-US"/>
        </w:rPr>
      </w:pPr>
      <w:r>
        <w:rPr>
          <w:lang w:val="es-ES" w:eastAsia="es-ES" w:bidi="en-US"/>
        </w:rPr>
        <w:t>Tipo de garantía.</w:t>
      </w:r>
    </w:p>
    <w:p w14:paraId="30043FFA">
      <w:pPr>
        <w:pStyle w:val="67"/>
        <w:numPr>
          <w:ilvl w:val="0"/>
          <w:numId w:val="54"/>
        </w:numPr>
        <w:jc w:val="both"/>
        <w:rPr>
          <w:lang w:val="es-ES" w:eastAsia="es-ES" w:bidi="en-US"/>
        </w:rPr>
      </w:pPr>
      <w:r>
        <w:rPr>
          <w:lang w:val="es-ES" w:eastAsia="es-ES" w:bidi="en-US"/>
        </w:rPr>
        <w:t>Valor de la garantía.</w:t>
      </w:r>
    </w:p>
    <w:p w14:paraId="2E1733A9">
      <w:pPr>
        <w:pStyle w:val="67"/>
        <w:numPr>
          <w:ilvl w:val="0"/>
          <w:numId w:val="54"/>
        </w:numPr>
        <w:jc w:val="both"/>
        <w:rPr>
          <w:lang w:val="es-ES" w:eastAsia="es-ES" w:bidi="en-US"/>
        </w:rPr>
      </w:pPr>
      <w:r>
        <w:rPr>
          <w:lang w:val="es-ES" w:eastAsia="es-ES" w:bidi="en-US"/>
        </w:rPr>
        <w:t>Identificación de los créditos garantizados.</w:t>
      </w:r>
    </w:p>
    <w:p w14:paraId="4B25AC11">
      <w:pPr>
        <w:pStyle w:val="67"/>
        <w:numPr>
          <w:ilvl w:val="0"/>
          <w:numId w:val="54"/>
        </w:numPr>
        <w:jc w:val="both"/>
        <w:rPr>
          <w:lang w:val="es-ES" w:eastAsia="es-ES" w:bidi="en-US"/>
        </w:rPr>
      </w:pPr>
      <w:r>
        <w:rPr>
          <w:lang w:val="es-ES" w:eastAsia="es-ES" w:bidi="en-US"/>
        </w:rPr>
        <w:t>Estado de la garantía.</w:t>
      </w:r>
    </w:p>
    <w:p w14:paraId="5D4845E6">
      <w:pPr>
        <w:pStyle w:val="67"/>
        <w:numPr>
          <w:ilvl w:val="0"/>
          <w:numId w:val="54"/>
        </w:numPr>
        <w:jc w:val="both"/>
        <w:rPr>
          <w:lang w:val="es-ES" w:eastAsia="es-ES" w:bidi="en-US"/>
        </w:rPr>
      </w:pPr>
      <w:r>
        <w:rPr>
          <w:lang w:val="es-ES" w:eastAsia="es-ES" w:bidi="en-US"/>
        </w:rPr>
        <w:t>Seguros vigentes.</w:t>
      </w:r>
    </w:p>
    <w:p w14:paraId="18A4E477">
      <w:pPr>
        <w:jc w:val="both"/>
        <w:rPr>
          <w:lang w:val="es-ES" w:eastAsia="es-ES" w:bidi="en-US"/>
        </w:rPr>
      </w:pPr>
      <w:r>
        <w:rPr>
          <w:lang w:val="es-ES" w:eastAsia="es-ES" w:bidi="en-US"/>
        </w:rPr>
        <w:t>El funcionario designado por la Gerencia tendrá bajo su responsabilidad la administración y custodia de las garantías y deberá asegurar el ingreso de los datos correspondientes a la garantía.</w:t>
      </w:r>
    </w:p>
    <w:p w14:paraId="30489145">
      <w:pPr>
        <w:jc w:val="both"/>
        <w:rPr>
          <w:b/>
          <w:bCs/>
          <w:lang w:val="es-ES" w:eastAsia="es-ES" w:bidi="en-US"/>
        </w:rPr>
      </w:pPr>
      <w:r>
        <w:rPr>
          <w:b/>
          <w:bCs/>
          <w:lang w:val="es-ES" w:eastAsia="es-ES" w:bidi="en-US"/>
        </w:rPr>
        <w:t>Actualización avalúo de garantías</w:t>
      </w:r>
    </w:p>
    <w:p w14:paraId="0E21E633">
      <w:pPr>
        <w:jc w:val="both"/>
        <w:rPr>
          <w:lang w:val="es-ES" w:eastAsia="es-ES" w:bidi="en-US"/>
        </w:rPr>
      </w:pPr>
      <w:r>
        <w:rPr>
          <w:lang w:val="es-ES" w:eastAsia="es-ES" w:bidi="en-US"/>
        </w:rPr>
        <w:t>Una vez constituida la hipoteca, el avaluó tendrá una vigencia de 3 años, sin embargo, si pasado un año el asociado requiere un nuevo desembolso se realizará una visita de inspección técnica, la cual se deberá realizar diligenciando el Formato “Visitas de inspección Ocular”. F-CRE-05</w:t>
      </w:r>
    </w:p>
    <w:p w14:paraId="2FF80585">
      <w:pPr>
        <w:jc w:val="both"/>
        <w:rPr>
          <w:b/>
          <w:bCs/>
          <w:lang w:val="es-ES" w:eastAsia="es-ES" w:bidi="en-US"/>
        </w:rPr>
      </w:pPr>
      <w:r>
        <w:rPr>
          <w:b/>
          <w:bCs/>
          <w:lang w:val="es-ES" w:eastAsia="es-ES" w:bidi="en-US"/>
        </w:rPr>
        <w:t>Renovación de pólizas</w:t>
      </w:r>
    </w:p>
    <w:p w14:paraId="518EC26E">
      <w:pPr>
        <w:jc w:val="both"/>
        <w:rPr>
          <w:lang w:val="es-ES" w:eastAsia="es-ES" w:bidi="en-US"/>
        </w:rPr>
      </w:pPr>
      <w:r>
        <w:rPr>
          <w:lang w:val="es-ES" w:eastAsia="es-ES" w:bidi="en-US"/>
        </w:rPr>
        <w:t>Cuando la póliza se pacta con una vigencia de un año con prórroga automática, se deberá exigir en el momento de dicha renovación el recibo de pago de la prima correspondiente, esto con el fin de validar que el documento tenga validez contractual.</w:t>
      </w:r>
    </w:p>
    <w:p w14:paraId="22E9CE00">
      <w:pPr>
        <w:jc w:val="both"/>
        <w:rPr>
          <w:b/>
          <w:bCs/>
          <w:lang w:val="es-ES" w:eastAsia="es-ES" w:bidi="en-US"/>
        </w:rPr>
      </w:pPr>
      <w:r>
        <w:rPr>
          <w:b/>
          <w:bCs/>
          <w:lang w:val="es-ES" w:eastAsia="es-ES" w:bidi="en-US"/>
        </w:rPr>
        <w:t>Liberación de garantías</w:t>
      </w:r>
    </w:p>
    <w:p w14:paraId="0AA0775E">
      <w:pPr>
        <w:jc w:val="both"/>
        <w:rPr>
          <w:lang w:val="es-ES" w:eastAsia="es-ES" w:bidi="en-US"/>
        </w:rPr>
      </w:pPr>
      <w:r>
        <w:rPr>
          <w:lang w:val="es-ES" w:eastAsia="es-ES" w:bidi="en-US"/>
        </w:rPr>
        <w:t>Una vez se verifique la cancelación total de la (s) obligación (es) se procederá a elaborar la minuta de cancelación de hipoteca y/o levantamiento de prenda y hacer la devolución de pagare (s) y carta(s) de instrucción (es) cancelado (s).</w:t>
      </w:r>
    </w:p>
    <w:p w14:paraId="2A49A519">
      <w:pPr>
        <w:jc w:val="both"/>
        <w:rPr>
          <w:lang w:val="es-ES" w:eastAsia="es-ES" w:bidi="en-US"/>
        </w:rPr>
      </w:pPr>
      <w:r>
        <w:rPr>
          <w:lang w:val="es-ES" w:eastAsia="es-ES" w:bidi="en-US"/>
        </w:rPr>
        <w:t>Igualmente se podrá cancelar la garantía real constituida, cuando el valor de los aportes del asociado deudor sea igual o superior al saldo de la deuda, o en su defecto cuando presente otra garantía real a satisfacción de la Cooperativa.</w:t>
      </w:r>
    </w:p>
    <w:p w14:paraId="028476A7">
      <w:pPr>
        <w:rPr>
          <w:lang w:val="es-ES" w:eastAsia="es-ES" w:bidi="en-US"/>
        </w:rPr>
      </w:pPr>
    </w:p>
    <w:p w14:paraId="5C2E64CB">
      <w:pPr>
        <w:rPr>
          <w:lang w:val="es-ES" w:eastAsia="es-ES" w:bidi="en-US"/>
        </w:rPr>
      </w:pPr>
    </w:p>
    <w:p w14:paraId="69BDC039">
      <w:pPr>
        <w:rPr>
          <w:lang w:val="es-ES" w:eastAsia="es-ES" w:bidi="en-US"/>
        </w:rPr>
      </w:pPr>
    </w:p>
    <w:p w14:paraId="7BEDDB5B">
      <w:pPr>
        <w:rPr>
          <w:lang w:val="es-ES" w:eastAsia="es-ES" w:bidi="en-US"/>
        </w:rPr>
      </w:pPr>
    </w:p>
    <w:p w14:paraId="339FDA85">
      <w:pPr>
        <w:rPr>
          <w:lang w:val="es-ES" w:eastAsia="es-ES" w:bidi="en-US"/>
        </w:rPr>
      </w:pPr>
    </w:p>
    <w:p w14:paraId="06F458A3">
      <w:pPr>
        <w:rPr>
          <w:lang w:val="es-ES" w:eastAsia="es-ES" w:bidi="en-US"/>
        </w:rPr>
      </w:pPr>
    </w:p>
    <w:p w14:paraId="7D6E8D62">
      <w:pPr>
        <w:rPr>
          <w:lang w:val="es-ES" w:eastAsia="es-ES" w:bidi="en-US"/>
        </w:rPr>
      </w:pPr>
    </w:p>
    <w:p w14:paraId="5C2E4330">
      <w:pPr>
        <w:rPr>
          <w:lang w:val="es-ES" w:eastAsia="es-ES" w:bidi="en-US"/>
        </w:rPr>
      </w:pPr>
    </w:p>
    <w:p w14:paraId="6FAB70E3">
      <w:pPr>
        <w:rPr>
          <w:lang w:val="es-ES" w:eastAsia="es-ES" w:bidi="en-US"/>
        </w:rPr>
      </w:pPr>
    </w:p>
    <w:p w14:paraId="405B0CB4">
      <w:pPr>
        <w:rPr>
          <w:lang w:val="es-ES" w:eastAsia="es-ES" w:bidi="en-US"/>
        </w:rPr>
      </w:pPr>
    </w:p>
    <w:p w14:paraId="1396EEDC">
      <w:pPr>
        <w:rPr>
          <w:lang w:val="es-ES" w:eastAsia="es-ES" w:bidi="en-US"/>
        </w:rPr>
      </w:pPr>
    </w:p>
    <w:p w14:paraId="06DE52B1">
      <w:pPr>
        <w:rPr>
          <w:lang w:val="es-MX" w:eastAsia="es-CO" w:bidi="en-US"/>
        </w:rPr>
      </w:pPr>
    </w:p>
    <w:p w14:paraId="5A59E086">
      <w:pPr>
        <w:pStyle w:val="2"/>
      </w:pPr>
      <w:bookmarkStart w:id="203" w:name="_Toc182642864"/>
      <w:bookmarkStart w:id="204" w:name="_Toc151443666"/>
      <w:r>
        <w:t>POLÍTICAS FRENTE A LOS DESEMBOLSOS</w:t>
      </w:r>
      <w:bookmarkEnd w:id="203"/>
      <w:bookmarkEnd w:id="204"/>
    </w:p>
    <w:p w14:paraId="4507521E">
      <w:pPr>
        <w:tabs>
          <w:tab w:val="left" w:pos="-720"/>
          <w:tab w:val="left" w:pos="0"/>
        </w:tabs>
        <w:suppressAutoHyphens/>
        <w:ind w:left="142"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En la solicitud de crédito se deberá dejar constancia de las condiciones de aprobación tales como: plazo, línea, tasa, garantía y calificación que tendrá el crédito al momento de la aprobación, aspectos que deberán ser validados durante el proceso del desembolso.</w:t>
      </w:r>
    </w:p>
    <w:p w14:paraId="49E9691C">
      <w:pPr>
        <w:tabs>
          <w:tab w:val="left" w:pos="-720"/>
          <w:tab w:val="left" w:pos="0"/>
        </w:tabs>
        <w:suppressAutoHyphens/>
        <w:ind w:left="142"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Los créditos se desembolsarán una vez se cumplan todos los requisitos establecidos en el presente manual, previa programación y disponibilidad de recursos en la Tesorería de la Cooperativa.</w:t>
      </w:r>
    </w:p>
    <w:p w14:paraId="1A722C98">
      <w:pPr>
        <w:tabs>
          <w:tab w:val="left" w:pos="-720"/>
          <w:tab w:val="left" w:pos="0"/>
        </w:tabs>
        <w:suppressAutoHyphens/>
        <w:ind w:left="142"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Los créditos para adquisición de activos, cancelación de gravamen hipotecario y compra de cartera, se desembolsarán a favor de la Persona Jurídica o Natural con la que el asociado haya contratado la adquisición de bienes o la cancelación de la obligación, si esto no es posible, será requisito demostrar mediante soporte idóneo el giro hecho a dichas personas.</w:t>
      </w:r>
    </w:p>
    <w:p w14:paraId="29257965">
      <w:pPr>
        <w:tabs>
          <w:tab w:val="left" w:pos="-720"/>
          <w:tab w:val="left" w:pos="0"/>
        </w:tabs>
        <w:suppressAutoHyphens/>
        <w:ind w:left="142"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Serán Causales de suspensión temporal de los desembolsos:</w:t>
      </w:r>
    </w:p>
    <w:p w14:paraId="1DAED7AF">
      <w:pPr>
        <w:pStyle w:val="67"/>
        <w:numPr>
          <w:ilvl w:val="0"/>
          <w:numId w:val="29"/>
        </w:numPr>
        <w:tabs>
          <w:tab w:val="left" w:pos="-720"/>
          <w:tab w:val="left" w:pos="0"/>
        </w:tabs>
        <w:suppressAutoHyphens/>
        <w:ind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Cuando el Asociado se encuentre incurso en alguna de las causales de inhabilidad.</w:t>
      </w:r>
    </w:p>
    <w:p w14:paraId="57950CB2">
      <w:pPr>
        <w:pStyle w:val="67"/>
        <w:numPr>
          <w:ilvl w:val="0"/>
          <w:numId w:val="29"/>
        </w:numPr>
        <w:tabs>
          <w:tab w:val="left" w:pos="-720"/>
          <w:tab w:val="left" w:pos="0"/>
        </w:tabs>
        <w:suppressAutoHyphens/>
        <w:ind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Por cierre temporal de la línea de crédito, especialmente las que dependen de la disponibilidad de recursos externos y están en función del recaudo mensual.</w:t>
      </w:r>
    </w:p>
    <w:p w14:paraId="0C14E461">
      <w:pPr>
        <w:pStyle w:val="67"/>
        <w:numPr>
          <w:ilvl w:val="0"/>
          <w:numId w:val="29"/>
        </w:numPr>
        <w:tabs>
          <w:tab w:val="left" w:pos="-720"/>
          <w:tab w:val="left" w:pos="0"/>
        </w:tabs>
        <w:suppressAutoHyphens/>
        <w:ind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Debido a que los riesgos pueden ser cambiantes y variar según la situación económica, se establece como tiempo máximo de utilización de los créditos aprobados TREINTA (30) DIAS contados desde la fecha de su aprobación.</w:t>
      </w:r>
    </w:p>
    <w:p w14:paraId="188A1D4E">
      <w:pPr>
        <w:pStyle w:val="67"/>
        <w:numPr>
          <w:ilvl w:val="0"/>
          <w:numId w:val="29"/>
        </w:numPr>
        <w:tabs>
          <w:tab w:val="left" w:pos="-720"/>
          <w:tab w:val="left" w:pos="0"/>
        </w:tabs>
        <w:suppressAutoHyphens/>
        <w:ind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El Consejo de Administración podrá ampliar este plazo hasta por un período de TREINTA (30) días, una vez se justifique el retraso por parte del interesado.</w:t>
      </w:r>
    </w:p>
    <w:p w14:paraId="0592F86E">
      <w:pPr>
        <w:pStyle w:val="67"/>
        <w:numPr>
          <w:ilvl w:val="0"/>
          <w:numId w:val="29"/>
        </w:numPr>
        <w:tabs>
          <w:tab w:val="left" w:pos="-720"/>
          <w:tab w:val="left" w:pos="0"/>
        </w:tabs>
        <w:suppressAutoHyphens/>
        <w:ind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Vencidos dichos plazos, se deberá anular la aprobación del crédito.</w:t>
      </w:r>
    </w:p>
    <w:p w14:paraId="72514530">
      <w:pPr>
        <w:pStyle w:val="67"/>
        <w:numPr>
          <w:ilvl w:val="0"/>
          <w:numId w:val="29"/>
        </w:numPr>
        <w:tabs>
          <w:tab w:val="left" w:pos="-720"/>
          <w:tab w:val="left" w:pos="0"/>
        </w:tabs>
        <w:suppressAutoHyphens/>
        <w:ind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Si el asociado persiste en el crédito, tendrá que presentar otra solicitud, actualizando la documentación requerida.</w:t>
      </w:r>
    </w:p>
    <w:p w14:paraId="4A58718F">
      <w:pPr>
        <w:pStyle w:val="67"/>
        <w:numPr>
          <w:ilvl w:val="0"/>
          <w:numId w:val="29"/>
        </w:numPr>
        <w:tabs>
          <w:tab w:val="left" w:pos="-720"/>
          <w:tab w:val="left" w:pos="0"/>
        </w:tabs>
        <w:suppressAutoHyphens/>
        <w:ind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El Gerente de la Cooperativa informara al asociado el plazo establecido para que haga uso del crédito y proceda a reclamar los medios para su utilización.</w:t>
      </w:r>
    </w:p>
    <w:p w14:paraId="44E60FC8">
      <w:pPr>
        <w:ind w:left="142" w:right="49"/>
        <w:jc w:val="both"/>
        <w:rPr>
          <w:rFonts w:cs="Arial"/>
          <w:b/>
          <w:bCs/>
          <w:color w:val="000000" w:themeColor="text1"/>
          <w:szCs w:val="24"/>
          <w:u w:val="single"/>
          <w14:textFill>
            <w14:solidFill>
              <w14:schemeClr w14:val="tx1"/>
            </w14:solidFill>
          </w14:textFill>
        </w:rPr>
      </w:pPr>
      <w:bookmarkStart w:id="205" w:name="_Toc271788971"/>
      <w:bookmarkStart w:id="206" w:name="_Toc31273675"/>
      <w:r>
        <w:rPr>
          <w:rFonts w:cs="Arial"/>
          <w:b/>
          <w:bCs/>
          <w:color w:val="000000" w:themeColor="text1"/>
          <w:szCs w:val="24"/>
          <w:u w:val="single"/>
          <w14:textFill>
            <w14:solidFill>
              <w14:schemeClr w14:val="tx1"/>
            </w14:solidFill>
          </w14:textFill>
        </w:rPr>
        <w:t>Definición Del Dia De Pago.</w:t>
      </w:r>
      <w:bookmarkEnd w:id="205"/>
      <w:bookmarkEnd w:id="206"/>
    </w:p>
    <w:p w14:paraId="48F83F0D">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Es importante desde el desembolso tomar el día en que la persona quiera pagar sus cuotas, por tal razón es responsabilidad del asesor comercial fijar el día de pago con periodicidad que corresponda a la época en que el deudor reciba sus ingresos.</w:t>
      </w:r>
    </w:p>
    <w:p w14:paraId="7697B5ED">
      <w:pPr>
        <w:pStyle w:val="86"/>
        <w:widowControl/>
        <w:ind w:left="142" w:right="49"/>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El objetivo es facilitar desde el inicio las condiciones del pago oportuno de las cuotas pactadas, se debe tener especial cuidado de fijar las fechas en el momento de efectuar la solicitud de crédito o el desembolso, para lo cual el asociado debe pagar los intereses anticipados o vencidos junto con la primera cuota, comprendidos entre la fecha de amortización y la fecha en la cual desea hacer el pago.   Su autorización es autonomía y responsabilidad de los Administradores de Agencia. Solo será procedente previa solicitud escrita por parte del asociado, debidamente justificada.</w:t>
      </w:r>
    </w:p>
    <w:p w14:paraId="352B4DFE">
      <w:pPr>
        <w:pStyle w:val="86"/>
        <w:widowControl/>
        <w:ind w:left="142" w:right="49"/>
        <w:rPr>
          <w:rFonts w:cs="Arial"/>
          <w:color w:val="000000" w:themeColor="text1"/>
          <w:szCs w:val="24"/>
          <w14:textFill>
            <w14:solidFill>
              <w14:schemeClr w14:val="tx1"/>
            </w14:solidFill>
          </w14:textFill>
        </w:rPr>
      </w:pPr>
    </w:p>
    <w:p w14:paraId="595BDDB7">
      <w:pPr>
        <w:pStyle w:val="86"/>
        <w:widowControl/>
        <w:ind w:left="142" w:right="49"/>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La finalidad principal para realizar este procedimiento es impedir que el mismo incurra en mora. Es importante destacar que para hacer efectivo un cambio de fecha el crédito deberá encontrarse al día.</w:t>
      </w:r>
    </w:p>
    <w:p w14:paraId="3455AA85">
      <w:pPr>
        <w:pStyle w:val="3"/>
      </w:pPr>
      <w:bookmarkStart w:id="207" w:name="_Toc182642865"/>
      <w:bookmarkStart w:id="208" w:name="_Toc269282002"/>
      <w:bookmarkStart w:id="209" w:name="_Toc151443667"/>
      <w:bookmarkStart w:id="210" w:name="_Toc460118528"/>
      <w:r>
        <w:t>Prerrequisitos Para El Desembolso</w:t>
      </w:r>
      <w:bookmarkEnd w:id="207"/>
      <w:bookmarkEnd w:id="208"/>
      <w:bookmarkEnd w:id="209"/>
      <w:bookmarkEnd w:id="210"/>
    </w:p>
    <w:p w14:paraId="557B7F84">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COOPCALLEJONA deberá exigir en casos de Hipoteca la primera copia de la escritura, el original del certificado de tradición y libertad actualizado; en caso de contrato de prenda el original de este y la póliza de seguro contra todo riesgo a favor de la Cooperativa.</w:t>
      </w:r>
    </w:p>
    <w:p w14:paraId="7DD7C490">
      <w:pPr>
        <w:tabs>
          <w:tab w:val="left" w:pos="-720"/>
        </w:tabs>
        <w:suppressAutoHyphens/>
        <w:ind w:left="142"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Ningún crédito se podrá desembolsar hasta tanto no se hayan constituido y perfeccionado las garantías exigidas por el respectivo organismo de Decisión.</w:t>
      </w:r>
    </w:p>
    <w:p w14:paraId="599CD1CE">
      <w:pPr>
        <w:tabs>
          <w:tab w:val="left" w:pos="-720"/>
        </w:tabs>
        <w:suppressAutoHyphens/>
        <w:ind w:left="142"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Para todo crédito desembolsado para la unificación de pasivos, se deberá solicitar el respectivo recibo de pago y archivarlo en la carpeta del crédito.</w:t>
      </w:r>
    </w:p>
    <w:p w14:paraId="17034694">
      <w:pPr>
        <w:tabs>
          <w:tab w:val="left" w:pos="-720"/>
        </w:tabs>
        <w:suppressAutoHyphens/>
        <w:ind w:left="142"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Ningún crédito podrá ser desembolsado sin la respectiva validación de la biometría o huella dactilar, esta verificación estará a cargo del funcionario encargado del desembolso y deberá dejar impreso el respectivo soporte.</w:t>
      </w:r>
    </w:p>
    <w:p w14:paraId="0A919AD5">
      <w:pPr>
        <w:pStyle w:val="67"/>
        <w:numPr>
          <w:ilvl w:val="0"/>
          <w:numId w:val="55"/>
        </w:numPr>
        <w:tabs>
          <w:tab w:val="left" w:pos="-720"/>
        </w:tabs>
        <w:suppressAutoHyphens/>
        <w:ind w:left="142" w:right="49" w:firstLine="0"/>
        <w:jc w:val="both"/>
        <w:rPr>
          <w:rFonts w:cs="Arial"/>
          <w:b/>
          <w:bCs/>
          <w:color w:val="000000" w:themeColor="text1"/>
          <w:spacing w:val="-3"/>
          <w:szCs w:val="24"/>
          <w14:textFill>
            <w14:solidFill>
              <w14:schemeClr w14:val="tx1"/>
            </w14:solidFill>
          </w14:textFill>
        </w:rPr>
      </w:pPr>
      <w:r>
        <w:rPr>
          <w:rFonts w:cs="Arial"/>
          <w:b/>
          <w:bCs/>
          <w:color w:val="000000" w:themeColor="text1"/>
          <w:spacing w:val="-3"/>
          <w:szCs w:val="24"/>
          <w14:textFill>
            <w14:solidFill>
              <w14:schemeClr w14:val="tx1"/>
            </w14:solidFill>
          </w14:textFill>
        </w:rPr>
        <w:t>Vigencia de la aprobación</w:t>
      </w:r>
    </w:p>
    <w:p w14:paraId="0EED895D">
      <w:pPr>
        <w:pStyle w:val="67"/>
        <w:tabs>
          <w:tab w:val="left" w:pos="-720"/>
        </w:tabs>
        <w:suppressAutoHyphens/>
        <w:ind w:left="142" w:right="49"/>
        <w:jc w:val="both"/>
        <w:rPr>
          <w:rFonts w:cs="Arial"/>
          <w:color w:val="000000" w:themeColor="text1"/>
          <w:spacing w:val="-3"/>
          <w:sz w:val="22"/>
          <w14:textFill>
            <w14:solidFill>
              <w14:schemeClr w14:val="tx1"/>
            </w14:solidFill>
          </w14:textFill>
        </w:rPr>
      </w:pPr>
    </w:p>
    <w:p w14:paraId="49BB802A">
      <w:pPr>
        <w:pStyle w:val="67"/>
        <w:tabs>
          <w:tab w:val="left" w:pos="-720"/>
        </w:tabs>
        <w:suppressAutoHyphens/>
        <w:ind w:left="142" w:right="49"/>
        <w:jc w:val="both"/>
        <w:rPr>
          <w:rFonts w:cs="Arial"/>
          <w:color w:val="000000" w:themeColor="text1"/>
          <w:spacing w:val="-3"/>
          <w:sz w:val="22"/>
          <w14:textFill>
            <w14:solidFill>
              <w14:schemeClr w14:val="tx1"/>
            </w14:solidFill>
          </w14:textFill>
        </w:rPr>
      </w:pPr>
      <w:r>
        <w:rPr>
          <w:rFonts w:cs="Arial"/>
          <w:color w:val="000000" w:themeColor="text1"/>
          <w:spacing w:val="-3"/>
          <w:sz w:val="22"/>
          <w14:textFill>
            <w14:solidFill>
              <w14:schemeClr w14:val="tx1"/>
            </w14:solidFill>
          </w14:textFill>
        </w:rPr>
        <w:t>La aprobación de los créditos tendrá una vigencia máxima de 60 días calendarios para créditos respaldados con garantía admisible; para las demás garantías tendrá una vigencia máxima de 30 días. Pasado este lapso tendrá que tramitarse de nuevo su aprobación.</w:t>
      </w:r>
    </w:p>
    <w:p w14:paraId="39309AC2">
      <w:pPr>
        <w:pStyle w:val="67"/>
        <w:tabs>
          <w:tab w:val="left" w:pos="-720"/>
        </w:tabs>
        <w:suppressAutoHyphens/>
        <w:ind w:left="142" w:right="49"/>
        <w:jc w:val="both"/>
        <w:rPr>
          <w:rFonts w:cs="Arial"/>
          <w:b/>
          <w:bCs/>
          <w:color w:val="000000" w:themeColor="text1"/>
          <w:spacing w:val="-3"/>
          <w:sz w:val="22"/>
          <w14:textFill>
            <w14:solidFill>
              <w14:schemeClr w14:val="tx1"/>
            </w14:solidFill>
          </w14:textFill>
        </w:rPr>
      </w:pPr>
    </w:p>
    <w:p w14:paraId="18ADD39B">
      <w:pPr>
        <w:pStyle w:val="67"/>
        <w:numPr>
          <w:ilvl w:val="0"/>
          <w:numId w:val="55"/>
        </w:numPr>
        <w:tabs>
          <w:tab w:val="left" w:pos="-720"/>
        </w:tabs>
        <w:suppressAutoHyphens/>
        <w:ind w:left="142" w:right="49" w:firstLine="0"/>
        <w:jc w:val="both"/>
        <w:rPr>
          <w:rFonts w:cs="Arial"/>
          <w:b/>
          <w:bCs/>
          <w:color w:val="000000" w:themeColor="text1"/>
          <w:spacing w:val="-3"/>
          <w:szCs w:val="24"/>
          <w14:textFill>
            <w14:solidFill>
              <w14:schemeClr w14:val="tx1"/>
            </w14:solidFill>
          </w14:textFill>
        </w:rPr>
      </w:pPr>
      <w:r>
        <w:rPr>
          <w:rFonts w:cs="Arial"/>
          <w:b/>
          <w:bCs/>
          <w:color w:val="000000" w:themeColor="text1"/>
          <w:spacing w:val="-3"/>
          <w:szCs w:val="24"/>
          <w14:textFill>
            <w14:solidFill>
              <w14:schemeClr w14:val="tx1"/>
            </w14:solidFill>
          </w14:textFill>
        </w:rPr>
        <w:t xml:space="preserve">Aceptación del seguro de vida </w:t>
      </w:r>
    </w:p>
    <w:p w14:paraId="5F9B8D97">
      <w:pPr>
        <w:tabs>
          <w:tab w:val="left" w:pos="-720"/>
        </w:tabs>
        <w:suppressAutoHyphens/>
        <w:ind w:left="142" w:right="49"/>
        <w:jc w:val="both"/>
        <w:rPr>
          <w:rFonts w:cs="Arial"/>
          <w:color w:val="000000" w:themeColor="text1"/>
          <w:spacing w:val="-3"/>
          <w:sz w:val="22"/>
          <w14:textFill>
            <w14:solidFill>
              <w14:schemeClr w14:val="tx1"/>
            </w14:solidFill>
          </w14:textFill>
        </w:rPr>
      </w:pPr>
      <w:r>
        <w:rPr>
          <w:rFonts w:cs="Arial"/>
          <w:color w:val="000000" w:themeColor="text1"/>
          <w:spacing w:val="-3"/>
          <w:sz w:val="22"/>
          <w14:textFill>
            <w14:solidFill>
              <w14:schemeClr w14:val="tx1"/>
            </w14:solidFill>
          </w14:textFill>
        </w:rPr>
        <w:t>Antes de proceder al desembolso se debe tener la certeza de la aprobación o trámite para la asegurabilidad, teniendo en cuenta lo establecido en el numeral 11.5 del presente manual.</w:t>
      </w:r>
    </w:p>
    <w:p w14:paraId="6D93C11B">
      <w:pPr>
        <w:pStyle w:val="3"/>
      </w:pPr>
      <w:bookmarkStart w:id="211" w:name="_Toc182642866"/>
      <w:bookmarkStart w:id="212" w:name="_Toc151443668"/>
      <w:r>
        <w:t>Información Previa Al Desembolso</w:t>
      </w:r>
      <w:bookmarkEnd w:id="211"/>
      <w:bookmarkEnd w:id="212"/>
      <w:r>
        <w:t xml:space="preserve"> </w:t>
      </w:r>
    </w:p>
    <w:p w14:paraId="58640E2F">
      <w:pPr>
        <w:tabs>
          <w:tab w:val="left" w:pos="3932"/>
          <w:tab w:val="center" w:pos="4536"/>
        </w:tabs>
        <w:ind w:left="142" w:right="49"/>
        <w:jc w:val="both"/>
        <w:rPr>
          <w:rFonts w:cs="Arial"/>
          <w:bCs/>
          <w:color w:val="000000" w:themeColor="text1"/>
          <w:sz w:val="22"/>
          <w:lang w:val="es-MX"/>
          <w14:textFill>
            <w14:solidFill>
              <w14:schemeClr w14:val="tx1"/>
            </w14:solidFill>
          </w14:textFill>
        </w:rPr>
      </w:pPr>
      <w:r>
        <w:rPr>
          <w:rFonts w:cs="Arial"/>
          <w:bCs/>
          <w:color w:val="000000" w:themeColor="text1"/>
          <w:sz w:val="22"/>
          <w:lang w:val="es-MX"/>
          <w14:textFill>
            <w14:solidFill>
              <w14:schemeClr w14:val="tx1"/>
            </w14:solidFill>
          </w14:textFill>
        </w:rPr>
        <w:t>Coopcallejona debe facilitar el entendimiento por parte del deudor potencial de los términos y condiciones del contrato de crédito. Por lo tanto, antes de que el deudor firme los documentos mediante los cuales se instrumente un crédito o manifieste su aceptación Coopcallejona deberá suministrar al deudor potencial en forma comprensible y legible, como mínimo la siguiente información, que deberá conservarse en los archivos de la cooperativa:</w:t>
      </w:r>
    </w:p>
    <w:p w14:paraId="11811823">
      <w:pPr>
        <w:pStyle w:val="67"/>
        <w:numPr>
          <w:ilvl w:val="0"/>
          <w:numId w:val="56"/>
        </w:numPr>
        <w:tabs>
          <w:tab w:val="left" w:pos="3932"/>
          <w:tab w:val="center" w:pos="4536"/>
        </w:tabs>
        <w:spacing w:line="256" w:lineRule="auto"/>
        <w:ind w:left="426" w:right="49" w:hanging="284"/>
        <w:jc w:val="both"/>
        <w:rPr>
          <w:rFonts w:cs="Arial"/>
          <w:bCs/>
          <w:color w:val="000000" w:themeColor="text1"/>
          <w:sz w:val="22"/>
          <w:lang w:val="es-MX"/>
          <w14:textFill>
            <w14:solidFill>
              <w14:schemeClr w14:val="tx1"/>
            </w14:solidFill>
          </w14:textFill>
        </w:rPr>
      </w:pPr>
      <w:r>
        <w:rPr>
          <w:rFonts w:cs="Arial"/>
          <w:bCs/>
          <w:color w:val="000000" w:themeColor="text1"/>
          <w:sz w:val="22"/>
          <w:lang w:val="es-MX"/>
          <w14:textFill>
            <w14:solidFill>
              <w14:schemeClr w14:val="tx1"/>
            </w14:solidFill>
          </w14:textFill>
        </w:rPr>
        <w:t>Monto del crédito.</w:t>
      </w:r>
    </w:p>
    <w:p w14:paraId="2087C23F">
      <w:pPr>
        <w:pStyle w:val="67"/>
        <w:numPr>
          <w:ilvl w:val="0"/>
          <w:numId w:val="56"/>
        </w:numPr>
        <w:tabs>
          <w:tab w:val="left" w:pos="3932"/>
          <w:tab w:val="center" w:pos="4536"/>
        </w:tabs>
        <w:spacing w:line="256" w:lineRule="auto"/>
        <w:ind w:left="426" w:right="49" w:hanging="284"/>
        <w:jc w:val="both"/>
        <w:rPr>
          <w:rFonts w:cs="Arial"/>
          <w:b/>
          <w:color w:val="000000" w:themeColor="text1"/>
          <w:sz w:val="22"/>
          <w:lang w:val="es-MX"/>
          <w14:textFill>
            <w14:solidFill>
              <w14:schemeClr w14:val="tx1"/>
            </w14:solidFill>
          </w14:textFill>
        </w:rPr>
      </w:pPr>
      <w:r>
        <w:rPr>
          <w:rFonts w:cs="Arial"/>
          <w:bCs/>
          <w:color w:val="000000" w:themeColor="text1"/>
          <w:sz w:val="22"/>
          <w:lang w:val="es-MX"/>
          <w14:textFill>
            <w14:solidFill>
              <w14:schemeClr w14:val="tx1"/>
            </w14:solidFill>
          </w14:textFill>
        </w:rPr>
        <w:t>Tasa de interés remuneratoria y moratoria expresada en efectiva anual.</w:t>
      </w:r>
    </w:p>
    <w:p w14:paraId="1333A1F6">
      <w:pPr>
        <w:pStyle w:val="67"/>
        <w:numPr>
          <w:ilvl w:val="0"/>
          <w:numId w:val="56"/>
        </w:numPr>
        <w:tabs>
          <w:tab w:val="left" w:pos="3932"/>
          <w:tab w:val="center" w:pos="4536"/>
        </w:tabs>
        <w:spacing w:line="256" w:lineRule="auto"/>
        <w:ind w:left="426" w:right="49" w:hanging="284"/>
        <w:jc w:val="both"/>
        <w:rPr>
          <w:rFonts w:cs="Arial"/>
          <w:color w:val="000000" w:themeColor="text1"/>
          <w:sz w:val="22"/>
          <w:lang w:val="es-MX"/>
          <w14:textFill>
            <w14:solidFill>
              <w14:schemeClr w14:val="tx1"/>
            </w14:solidFill>
          </w14:textFill>
        </w:rPr>
      </w:pPr>
      <w:r>
        <w:rPr>
          <w:rFonts w:cs="Arial"/>
          <w:color w:val="000000" w:themeColor="text1"/>
          <w:sz w:val="22"/>
          <w:lang w:val="es-MX"/>
          <w14:textFill>
            <w14:solidFill>
              <w14:schemeClr w14:val="tx1"/>
            </w14:solidFill>
          </w14:textFill>
        </w:rPr>
        <w:t>Sistema de amortización</w:t>
      </w:r>
    </w:p>
    <w:p w14:paraId="3ED92140">
      <w:pPr>
        <w:pStyle w:val="67"/>
        <w:numPr>
          <w:ilvl w:val="0"/>
          <w:numId w:val="56"/>
        </w:numPr>
        <w:tabs>
          <w:tab w:val="left" w:pos="3932"/>
          <w:tab w:val="center" w:pos="4536"/>
        </w:tabs>
        <w:spacing w:line="256" w:lineRule="auto"/>
        <w:ind w:left="426" w:right="49" w:hanging="284"/>
        <w:jc w:val="both"/>
        <w:rPr>
          <w:rFonts w:cs="Arial"/>
          <w:bCs/>
          <w:color w:val="000000" w:themeColor="text1"/>
          <w:sz w:val="22"/>
          <w:lang w:val="es-MX"/>
          <w14:textFill>
            <w14:solidFill>
              <w14:schemeClr w14:val="tx1"/>
            </w14:solidFill>
          </w14:textFill>
        </w:rPr>
      </w:pPr>
      <w:r>
        <w:rPr>
          <w:rFonts w:cs="Arial"/>
          <w:bCs/>
          <w:color w:val="000000" w:themeColor="text1"/>
          <w:sz w:val="22"/>
          <w:lang w:val="es-MX"/>
          <w14:textFill>
            <w14:solidFill>
              <w14:schemeClr w14:val="tx1"/>
            </w14:solidFill>
          </w14:textFill>
        </w:rPr>
        <w:t>Plazo de amortización, incluyendo períodos muertos, periodos de gracia, etc.</w:t>
      </w:r>
    </w:p>
    <w:p w14:paraId="2ADD67A6">
      <w:pPr>
        <w:pStyle w:val="67"/>
        <w:numPr>
          <w:ilvl w:val="0"/>
          <w:numId w:val="56"/>
        </w:numPr>
        <w:tabs>
          <w:tab w:val="left" w:pos="3932"/>
          <w:tab w:val="center" w:pos="4536"/>
        </w:tabs>
        <w:spacing w:line="256" w:lineRule="auto"/>
        <w:ind w:left="426" w:right="49" w:hanging="284"/>
        <w:jc w:val="both"/>
        <w:rPr>
          <w:rFonts w:cs="Arial"/>
          <w:bCs/>
          <w:color w:val="000000" w:themeColor="text1"/>
          <w:sz w:val="22"/>
          <w:lang w:val="es-MX"/>
          <w14:textFill>
            <w14:solidFill>
              <w14:schemeClr w14:val="tx1"/>
            </w14:solidFill>
          </w14:textFill>
        </w:rPr>
      </w:pPr>
      <w:r>
        <w:rPr>
          <w:rFonts w:cs="Arial"/>
          <w:bCs/>
          <w:color w:val="000000" w:themeColor="text1"/>
          <w:sz w:val="22"/>
          <w:lang w:val="es-MX"/>
          <w14:textFill>
            <w14:solidFill>
              <w14:schemeClr w14:val="tx1"/>
            </w14:solidFill>
          </w14:textFill>
        </w:rPr>
        <w:t xml:space="preserve">Modalidad de la cuota (fija, variable, otras); si la tasa es variable, se debe informar el índice al cual quedará atada su variación y el margen, de igual forma, se deberá informar las implicaciones que tiene la variación de estas tasas en el mercado frente al valor de su cuota y la tabla de amortización del crédito.  </w:t>
      </w:r>
    </w:p>
    <w:p w14:paraId="0ADE0527">
      <w:pPr>
        <w:pStyle w:val="67"/>
        <w:numPr>
          <w:ilvl w:val="0"/>
          <w:numId w:val="56"/>
        </w:numPr>
        <w:tabs>
          <w:tab w:val="left" w:pos="3932"/>
          <w:tab w:val="center" w:pos="4536"/>
        </w:tabs>
        <w:spacing w:line="256" w:lineRule="auto"/>
        <w:ind w:left="426" w:right="49" w:hanging="284"/>
        <w:jc w:val="both"/>
        <w:rPr>
          <w:rFonts w:cs="Arial"/>
          <w:bCs/>
          <w:color w:val="000000" w:themeColor="text1"/>
          <w:sz w:val="22"/>
          <w:lang w:val="es-MX"/>
          <w14:textFill>
            <w14:solidFill>
              <w14:schemeClr w14:val="tx1"/>
            </w14:solidFill>
          </w14:textFill>
        </w:rPr>
      </w:pPr>
      <w:r>
        <w:rPr>
          <w:rFonts w:cs="Arial"/>
          <w:bCs/>
          <w:color w:val="000000" w:themeColor="text1"/>
          <w:sz w:val="22"/>
          <w:lang w:val="es-MX"/>
          <w14:textFill>
            <w14:solidFill>
              <w14:schemeClr w14:val="tx1"/>
            </w14:solidFill>
          </w14:textFill>
        </w:rPr>
        <w:t>Forma de pago (descuento por nómina, pago por caja, otras).</w:t>
      </w:r>
    </w:p>
    <w:p w14:paraId="02786557">
      <w:pPr>
        <w:pStyle w:val="67"/>
        <w:numPr>
          <w:ilvl w:val="0"/>
          <w:numId w:val="56"/>
        </w:numPr>
        <w:tabs>
          <w:tab w:val="left" w:pos="3932"/>
          <w:tab w:val="center" w:pos="4536"/>
        </w:tabs>
        <w:spacing w:line="256" w:lineRule="auto"/>
        <w:ind w:left="426" w:right="49" w:hanging="284"/>
        <w:jc w:val="both"/>
        <w:rPr>
          <w:rFonts w:cs="Arial"/>
          <w:bCs/>
          <w:color w:val="000000" w:themeColor="text1"/>
          <w:sz w:val="22"/>
          <w:lang w:val="es-MX"/>
          <w14:textFill>
            <w14:solidFill>
              <w14:schemeClr w14:val="tx1"/>
            </w14:solidFill>
          </w14:textFill>
        </w:rPr>
      </w:pPr>
      <w:r>
        <w:rPr>
          <w:rFonts w:cs="Arial"/>
          <w:bCs/>
          <w:color w:val="000000" w:themeColor="text1"/>
          <w:sz w:val="22"/>
          <w:lang w:val="es-MX"/>
          <w14:textFill>
            <w14:solidFill>
              <w14:schemeClr w14:val="tx1"/>
            </w14:solidFill>
          </w14:textFill>
        </w:rPr>
        <w:t xml:space="preserve">Periodicidad en el pago de capital y de intereses. </w:t>
      </w:r>
    </w:p>
    <w:p w14:paraId="5FD4689C">
      <w:pPr>
        <w:pStyle w:val="67"/>
        <w:numPr>
          <w:ilvl w:val="0"/>
          <w:numId w:val="56"/>
        </w:numPr>
        <w:tabs>
          <w:tab w:val="left" w:pos="3932"/>
          <w:tab w:val="center" w:pos="4536"/>
        </w:tabs>
        <w:spacing w:line="256" w:lineRule="auto"/>
        <w:ind w:left="426" w:right="49" w:hanging="284"/>
        <w:jc w:val="both"/>
        <w:rPr>
          <w:rFonts w:cs="Arial"/>
          <w:bCs/>
          <w:color w:val="000000" w:themeColor="text1"/>
          <w:sz w:val="22"/>
          <w:lang w:val="es-MX"/>
          <w14:textFill>
            <w14:solidFill>
              <w14:schemeClr w14:val="tx1"/>
            </w14:solidFill>
          </w14:textFill>
        </w:rPr>
      </w:pPr>
      <w:r>
        <w:rPr>
          <w:rFonts w:cs="Arial"/>
          <w:bCs/>
          <w:color w:val="000000" w:themeColor="text1"/>
          <w:sz w:val="22"/>
          <w:lang w:val="es-MX"/>
          <w14:textFill>
            <w14:solidFill>
              <w14:schemeClr w14:val="tx1"/>
            </w14:solidFill>
          </w14:textFill>
        </w:rPr>
        <w:t>Tipo y cobertura de la garantía solicitada.</w:t>
      </w:r>
    </w:p>
    <w:p w14:paraId="72BE16BE">
      <w:pPr>
        <w:pStyle w:val="67"/>
        <w:numPr>
          <w:ilvl w:val="0"/>
          <w:numId w:val="56"/>
        </w:numPr>
        <w:tabs>
          <w:tab w:val="left" w:pos="3932"/>
          <w:tab w:val="center" w:pos="4536"/>
        </w:tabs>
        <w:spacing w:line="256" w:lineRule="auto"/>
        <w:ind w:left="426" w:right="49" w:hanging="284"/>
        <w:jc w:val="both"/>
        <w:rPr>
          <w:rFonts w:cs="Arial"/>
          <w:bCs/>
          <w:color w:val="000000" w:themeColor="text1"/>
          <w:sz w:val="22"/>
          <w:lang w:val="es-MX"/>
          <w14:textFill>
            <w14:solidFill>
              <w14:schemeClr w14:val="tx1"/>
            </w14:solidFill>
          </w14:textFill>
        </w:rPr>
      </w:pPr>
      <w:r>
        <w:rPr>
          <w:rFonts w:cs="Arial"/>
          <w:bCs/>
          <w:color w:val="000000" w:themeColor="text1"/>
          <w:sz w:val="22"/>
          <w:lang w:val="es-MX"/>
          <w14:textFill>
            <w14:solidFill>
              <w14:schemeClr w14:val="tx1"/>
            </w14:solidFill>
          </w14:textFill>
        </w:rPr>
        <w:t>Información sobre las condiciones para prepagar la obligación o para realizar pagos anticipados.</w:t>
      </w:r>
    </w:p>
    <w:p w14:paraId="017B615A">
      <w:pPr>
        <w:pStyle w:val="67"/>
        <w:numPr>
          <w:ilvl w:val="0"/>
          <w:numId w:val="56"/>
        </w:numPr>
        <w:tabs>
          <w:tab w:val="left" w:pos="3932"/>
          <w:tab w:val="center" w:pos="4536"/>
        </w:tabs>
        <w:spacing w:line="256" w:lineRule="auto"/>
        <w:ind w:left="426" w:right="49" w:hanging="284"/>
        <w:jc w:val="both"/>
        <w:rPr>
          <w:rFonts w:cs="Arial"/>
          <w:bCs/>
          <w:color w:val="000000" w:themeColor="text1"/>
          <w:sz w:val="22"/>
          <w:lang w:val="es-MX"/>
          <w14:textFill>
            <w14:solidFill>
              <w14:schemeClr w14:val="tx1"/>
            </w14:solidFill>
          </w14:textFill>
        </w:rPr>
      </w:pPr>
      <w:r>
        <w:rPr>
          <w:rFonts w:cs="Arial"/>
          <w:bCs/>
          <w:color w:val="000000" w:themeColor="text1"/>
          <w:sz w:val="22"/>
          <w:lang w:val="es-MX"/>
          <w14:textFill>
            <w14:solidFill>
              <w14:schemeClr w14:val="tx1"/>
            </w14:solidFill>
          </w14:textFill>
        </w:rPr>
        <w:t>Comisiones, recargos y demás conceptos que se aplicarán en la estimación de la cuota.</w:t>
      </w:r>
    </w:p>
    <w:p w14:paraId="75526394">
      <w:pPr>
        <w:pStyle w:val="67"/>
        <w:numPr>
          <w:ilvl w:val="0"/>
          <w:numId w:val="56"/>
        </w:numPr>
        <w:tabs>
          <w:tab w:val="left" w:pos="3932"/>
          <w:tab w:val="center" w:pos="4536"/>
        </w:tabs>
        <w:spacing w:line="256" w:lineRule="auto"/>
        <w:ind w:left="426" w:right="49" w:hanging="284"/>
        <w:jc w:val="both"/>
        <w:rPr>
          <w:rFonts w:cs="Arial"/>
          <w:bCs/>
          <w:color w:val="000000" w:themeColor="text1"/>
          <w:sz w:val="22"/>
          <w:lang w:val="es-MX"/>
          <w14:textFill>
            <w14:solidFill>
              <w14:schemeClr w14:val="tx1"/>
            </w14:solidFill>
          </w14:textFill>
        </w:rPr>
      </w:pPr>
      <w:r>
        <w:rPr>
          <w:rFonts w:cs="Arial"/>
          <w:color w:val="000000" w:themeColor="text1"/>
          <w:sz w:val="22"/>
          <w:lang w:bidi="en-US"/>
          <w14:textFill>
            <w14:solidFill>
              <w14:schemeClr w14:val="tx1"/>
            </w14:solidFill>
          </w14:textFill>
        </w:rPr>
        <w:t>Entregar al asociado el plan de amortización del crédito y poner en su conocimiento el reglamento de crédito.</w:t>
      </w:r>
    </w:p>
    <w:p w14:paraId="74C31335">
      <w:pPr>
        <w:pStyle w:val="67"/>
        <w:numPr>
          <w:ilvl w:val="0"/>
          <w:numId w:val="56"/>
        </w:numPr>
        <w:tabs>
          <w:tab w:val="left" w:pos="3932"/>
          <w:tab w:val="center" w:pos="4536"/>
        </w:tabs>
        <w:spacing w:line="256" w:lineRule="auto"/>
        <w:ind w:left="426" w:right="49" w:hanging="284"/>
        <w:jc w:val="both"/>
        <w:rPr>
          <w:rFonts w:cs="Arial"/>
          <w:bCs/>
          <w:color w:val="000000" w:themeColor="text1"/>
          <w:sz w:val="22"/>
          <w:lang w:val="es-MX"/>
          <w14:textFill>
            <w14:solidFill>
              <w14:schemeClr w14:val="tx1"/>
            </w14:solidFill>
          </w14:textFill>
        </w:rPr>
      </w:pPr>
      <w:r>
        <w:rPr>
          <w:rFonts w:cs="Arial"/>
          <w:bCs/>
          <w:color w:val="000000" w:themeColor="text1"/>
          <w:sz w:val="22"/>
          <w:lang w:val="es-MX"/>
          <w14:textFill>
            <w14:solidFill>
              <w14:schemeClr w14:val="tx1"/>
            </w14:solidFill>
          </w14:textFill>
        </w:rPr>
        <w:t xml:space="preserve">Al momento del desembolso se deberán indicar los descuentos. </w:t>
      </w:r>
    </w:p>
    <w:p w14:paraId="7AC4D9F4">
      <w:pPr>
        <w:pStyle w:val="67"/>
        <w:numPr>
          <w:ilvl w:val="0"/>
          <w:numId w:val="56"/>
        </w:numPr>
        <w:tabs>
          <w:tab w:val="left" w:pos="3932"/>
          <w:tab w:val="center" w:pos="4536"/>
        </w:tabs>
        <w:spacing w:line="256" w:lineRule="auto"/>
        <w:ind w:left="426" w:right="49" w:hanging="284"/>
        <w:jc w:val="both"/>
        <w:rPr>
          <w:rFonts w:cs="Arial"/>
          <w:bCs/>
          <w:color w:val="000000" w:themeColor="text1"/>
          <w:sz w:val="22"/>
          <w:lang w:val="es-MX"/>
          <w14:textFill>
            <w14:solidFill>
              <w14:schemeClr w14:val="tx1"/>
            </w14:solidFill>
          </w14:textFill>
        </w:rPr>
      </w:pPr>
      <w:r>
        <w:rPr>
          <w:rFonts w:cs="Arial"/>
          <w:bCs/>
          <w:color w:val="000000" w:themeColor="text1"/>
          <w:sz w:val="22"/>
          <w:lang w:val="es-MX"/>
          <w14:textFill>
            <w14:solidFill>
              <w14:schemeClr w14:val="tx1"/>
            </w14:solidFill>
          </w14:textFill>
        </w:rPr>
        <w:t>En caso de créditos reestructurados, se deberá mencionar el número de veces y condiciones propias de la reestructuración. Igualmente deben suministrar al deudor la información necesaria que le permita comprender las implicaciones de estas reestructuraciones en términos de costos, calificación crediticia, y los efectos de incumplir en el pago de la obligación.</w:t>
      </w:r>
    </w:p>
    <w:p w14:paraId="6CEA4FA9">
      <w:pPr>
        <w:pStyle w:val="67"/>
        <w:numPr>
          <w:ilvl w:val="0"/>
          <w:numId w:val="56"/>
        </w:numPr>
        <w:tabs>
          <w:tab w:val="left" w:pos="3932"/>
          <w:tab w:val="center" w:pos="4536"/>
        </w:tabs>
        <w:spacing w:line="256" w:lineRule="auto"/>
        <w:ind w:left="426" w:right="49" w:hanging="284"/>
        <w:jc w:val="both"/>
        <w:rPr>
          <w:rFonts w:cs="Arial"/>
          <w:bCs/>
          <w:color w:val="000000" w:themeColor="text1"/>
          <w:sz w:val="22"/>
          <w:lang w:val="es-MX"/>
          <w14:textFill>
            <w14:solidFill>
              <w14:schemeClr w14:val="tx1"/>
            </w14:solidFill>
          </w14:textFill>
        </w:rPr>
      </w:pPr>
      <w:r>
        <w:rPr>
          <w:rFonts w:cs="Arial"/>
          <w:bCs/>
          <w:color w:val="000000" w:themeColor="text1"/>
          <w:sz w:val="22"/>
          <w:lang w:val="es-MX"/>
          <w14:textFill>
            <w14:solidFill>
              <w14:schemeClr w14:val="tx1"/>
            </w14:solidFill>
          </w14:textFill>
        </w:rPr>
        <w:t>En caso de otros tipos de modificaciones de un crédito, se debe suministrar al deudor la información necesaria que le permita comprender las implicaciones de dicha modificación en términos de costos y calificación crediticia, así como un comparativo entre las condiciones actuales y las del crédito una vez sea modificado. Para el efecto deben suministrar como mínimo información respecto de las nuevas condiciones establecidas, los efectos de incumplir en el pago de la obligación bajo las nuevas condiciones, así como el costo total de la operación. Los derechos de la cooperativa en caso de incumplimiento por parte del deudor.</w:t>
      </w:r>
    </w:p>
    <w:p w14:paraId="73FF077E">
      <w:pPr>
        <w:pStyle w:val="67"/>
        <w:numPr>
          <w:ilvl w:val="0"/>
          <w:numId w:val="56"/>
        </w:numPr>
        <w:tabs>
          <w:tab w:val="left" w:pos="3932"/>
          <w:tab w:val="center" w:pos="4536"/>
        </w:tabs>
        <w:spacing w:line="256" w:lineRule="auto"/>
        <w:ind w:left="426" w:right="49" w:hanging="284"/>
        <w:jc w:val="both"/>
        <w:rPr>
          <w:rFonts w:cs="Arial"/>
          <w:bCs/>
          <w:color w:val="000000" w:themeColor="text1"/>
          <w:sz w:val="22"/>
          <w:lang w:val="es-MX"/>
          <w14:textFill>
            <w14:solidFill>
              <w14:schemeClr w14:val="tx1"/>
            </w14:solidFill>
          </w14:textFill>
        </w:rPr>
      </w:pPr>
      <w:r>
        <w:rPr>
          <w:rFonts w:cs="Arial"/>
          <w:bCs/>
          <w:color w:val="000000" w:themeColor="text1"/>
          <w:sz w:val="22"/>
          <w:lang w:val="es-MX"/>
          <w14:textFill>
            <w14:solidFill>
              <w14:schemeClr w14:val="tx1"/>
            </w14:solidFill>
          </w14:textFill>
        </w:rPr>
        <w:t>Los derechos del deudor, en particular, los que se refieren al acceso a la información sobre la calificación de riesgo de sus obligaciones con la cooperativa.</w:t>
      </w:r>
    </w:p>
    <w:p w14:paraId="19CF6BC8">
      <w:pPr>
        <w:pStyle w:val="67"/>
        <w:numPr>
          <w:ilvl w:val="0"/>
          <w:numId w:val="56"/>
        </w:numPr>
        <w:tabs>
          <w:tab w:val="left" w:pos="3932"/>
          <w:tab w:val="center" w:pos="4536"/>
        </w:tabs>
        <w:spacing w:line="256" w:lineRule="auto"/>
        <w:ind w:left="426" w:right="49" w:hanging="284"/>
        <w:jc w:val="both"/>
        <w:rPr>
          <w:rFonts w:cs="Arial"/>
          <w:bCs/>
          <w:color w:val="000000" w:themeColor="text1"/>
          <w:sz w:val="22"/>
          <w:lang w:val="es-MX"/>
          <w14:textFill>
            <w14:solidFill>
              <w14:schemeClr w14:val="tx1"/>
            </w14:solidFill>
          </w14:textFill>
        </w:rPr>
      </w:pPr>
      <w:r>
        <w:rPr>
          <w:rFonts w:cs="Arial"/>
          <w:bCs/>
          <w:color w:val="000000" w:themeColor="text1"/>
          <w:sz w:val="22"/>
          <w:lang w:val="es-MX"/>
          <w14:textFill>
            <w14:solidFill>
              <w14:schemeClr w14:val="tx1"/>
            </w14:solidFill>
          </w14:textFill>
        </w:rPr>
        <w:t>En el caso de los descuentos por libranza, se deberá tener en cuenta el tope máximo señalado en la normatividad vigente, lo cual podrá limitar el monto a otorgar, Para lo cual siempre requerirá la aprobación de la respectiva pagaduría de forma previa al desembolso.</w:t>
      </w:r>
    </w:p>
    <w:p w14:paraId="456686A3">
      <w:pPr>
        <w:tabs>
          <w:tab w:val="left" w:pos="3932"/>
          <w:tab w:val="center" w:pos="4536"/>
        </w:tabs>
        <w:ind w:left="284" w:right="49"/>
        <w:jc w:val="both"/>
        <w:rPr>
          <w:rFonts w:cs="Arial"/>
          <w:bCs/>
          <w:color w:val="000000" w:themeColor="text1"/>
          <w:szCs w:val="24"/>
          <w:lang w:val="es-MX"/>
          <w14:textFill>
            <w14:solidFill>
              <w14:schemeClr w14:val="tx1"/>
            </w14:solidFill>
          </w14:textFill>
        </w:rPr>
      </w:pPr>
      <w:r>
        <w:rPr>
          <w:rFonts w:cs="Arial"/>
          <w:bCs/>
          <w:color w:val="000000" w:themeColor="text1"/>
          <w:szCs w:val="24"/>
          <w:lang w:val="es-MX"/>
          <w14:textFill>
            <w14:solidFill>
              <w14:schemeClr w14:val="tx1"/>
            </w14:solidFill>
          </w14:textFill>
        </w:rPr>
        <w:t>En general, Coopcallejona deberá entregar toda la información que resulte relevante y necesaria para facilitar la adecuada comprensión del alcance de los derechos y obligaciones de su acreedor.</w:t>
      </w:r>
    </w:p>
    <w:p w14:paraId="0947F0C9">
      <w:pPr>
        <w:tabs>
          <w:tab w:val="left" w:pos="3932"/>
          <w:tab w:val="center" w:pos="4536"/>
        </w:tabs>
        <w:ind w:left="284" w:right="49"/>
        <w:jc w:val="both"/>
        <w:rPr>
          <w:rFonts w:cs="Arial"/>
          <w:bCs/>
          <w:color w:val="000000" w:themeColor="text1"/>
          <w:szCs w:val="24"/>
          <w:lang w:val="es-MX"/>
          <w14:textFill>
            <w14:solidFill>
              <w14:schemeClr w14:val="tx1"/>
            </w14:solidFill>
          </w14:textFill>
        </w:rPr>
      </w:pPr>
      <w:r>
        <w:rPr>
          <w:rFonts w:cs="Arial"/>
          <w:bCs/>
          <w:color w:val="000000" w:themeColor="text1"/>
          <w:szCs w:val="24"/>
          <w:lang w:val="es-MX"/>
          <w14:textFill>
            <w14:solidFill>
              <w14:schemeClr w14:val="tx1"/>
            </w14:solidFill>
          </w14:textFill>
        </w:rPr>
        <w:t xml:space="preserve">Frente a los aspectos antes mencionados, la cooperativa debe dejar evidencia, a través de formatos u otro tipo de comunicaciones que consideren pertinentes, con el fin de informar al deudor de dichas condiciones de manera previa a la aceptación del crédito, para lo que también podrán utilizar herramientas de tipo virtual (correos electrónicos, mensajes de texto, página web, entre otras), con las medidas de seguridad suficientes. </w:t>
      </w:r>
    </w:p>
    <w:p w14:paraId="27ED1322">
      <w:pPr>
        <w:widowControl w:val="0"/>
        <w:ind w:left="284" w:right="49"/>
        <w:jc w:val="both"/>
        <w:rPr>
          <w:rFonts w:cs="Arial"/>
          <w:color w:val="000000" w:themeColor="text1"/>
          <w:szCs w:val="24"/>
          <w:lang w:bidi="en-US"/>
          <w14:textFill>
            <w14:solidFill>
              <w14:schemeClr w14:val="tx1"/>
            </w14:solidFill>
          </w14:textFill>
        </w:rPr>
      </w:pPr>
      <w:r>
        <w:rPr>
          <w:rFonts w:cs="Arial"/>
          <w:bCs/>
          <w:color w:val="000000" w:themeColor="text1"/>
          <w:szCs w:val="24"/>
          <w:lang w:val="es-MX"/>
          <w14:textFill>
            <w14:solidFill>
              <w14:schemeClr w14:val="tx1"/>
            </w14:solidFill>
          </w14:textFill>
        </w:rPr>
        <w:t>Así mismo, y e</w:t>
      </w:r>
      <w:r>
        <w:rPr>
          <w:rFonts w:cs="Arial"/>
          <w:color w:val="000000" w:themeColor="text1"/>
          <w:szCs w:val="24"/>
          <w:lang w:bidi="en-US"/>
          <w14:textFill>
            <w14:solidFill>
              <w14:schemeClr w14:val="tx1"/>
            </w14:solidFill>
          </w14:textFill>
        </w:rPr>
        <w:t xml:space="preserve">n virtud de lo dispuesto en la Ley 2032 de 2020, los usuarios de los créditos de la cooperativa tendrán el beneficio de pago anticipado de las cuotas o saldos en forma total o parcial, en toda operación de crédito en moneda nacional, sin incurrir en ningún tipo de penalización o compensación por lucro cesante. </w:t>
      </w:r>
    </w:p>
    <w:p w14:paraId="4D03B719">
      <w:pPr>
        <w:widowControl w:val="0"/>
        <w:ind w:left="284" w:right="49"/>
        <w:jc w:val="both"/>
        <w:rPr>
          <w:rFonts w:cs="Arial"/>
          <w:color w:val="000000" w:themeColor="text1"/>
          <w:szCs w:val="24"/>
          <w:lang w:bidi="en-US"/>
          <w14:textFill>
            <w14:solidFill>
              <w14:schemeClr w14:val="tx1"/>
            </w14:solidFill>
          </w14:textFill>
        </w:rPr>
      </w:pPr>
      <w:r>
        <w:rPr>
          <w:rFonts w:cs="Arial"/>
          <w:color w:val="000000" w:themeColor="text1"/>
          <w:szCs w:val="24"/>
          <w:lang w:bidi="en-US"/>
          <w14:textFill>
            <w14:solidFill>
              <w14:schemeClr w14:val="tx1"/>
            </w14:solidFill>
          </w14:textFill>
        </w:rPr>
        <w:t>En todo caso, el reglamento de crédito, plan de amortización y pago anticipado de obligaciones debe estar a disposición de los asociados mediante los mecanismos de publicidad que para tal efecto diseñe la cooperativa, los cuales deben ser idóneos, adecuados, permanentes y que garanticen que la información que se suministre sea veraz, completa, exacta, actualizada, comprobable y comprensible.</w:t>
      </w:r>
    </w:p>
    <w:p w14:paraId="22941951">
      <w:pPr>
        <w:widowControl w:val="0"/>
        <w:ind w:left="284" w:right="49"/>
        <w:jc w:val="both"/>
        <w:rPr>
          <w:rFonts w:cs="Arial"/>
          <w:color w:val="000000" w:themeColor="text1"/>
          <w:szCs w:val="24"/>
          <w:lang w:bidi="en-US"/>
          <w14:textFill>
            <w14:solidFill>
              <w14:schemeClr w14:val="tx1"/>
            </w14:solidFill>
          </w14:textFill>
        </w:rPr>
      </w:pPr>
      <w:r>
        <w:rPr>
          <w:rFonts w:cs="Arial"/>
          <w:color w:val="000000" w:themeColor="text1"/>
          <w:szCs w:val="24"/>
          <w:lang w:bidi="en-US"/>
          <w14:textFill>
            <w14:solidFill>
              <w14:schemeClr w14:val="tx1"/>
            </w14:solidFill>
          </w14:textFill>
        </w:rPr>
        <w:t>Cuando Coopcallejona otorgue créditos respaldados mediante AVAL, se deberá informar de manera expresa al asociado mediante documento anexo o incorporado al pagaré de esa circunstancia, haciéndole conocer las condiciones del aval, particularmente del costo y de las consecuencias del no pago oportuno de una o varias cuotas.</w:t>
      </w:r>
    </w:p>
    <w:p w14:paraId="269C0D19">
      <w:pPr>
        <w:pStyle w:val="3"/>
      </w:pPr>
      <w:bookmarkStart w:id="213" w:name="_Toc151443669"/>
      <w:bookmarkStart w:id="214" w:name="_Toc460118529"/>
      <w:bookmarkStart w:id="215" w:name="_Toc182642867"/>
      <w:bookmarkStart w:id="216" w:name="_Toc269282003"/>
      <w:r>
        <w:t>Diligenciamiento Del Pagare</w:t>
      </w:r>
      <w:bookmarkEnd w:id="213"/>
      <w:bookmarkEnd w:id="214"/>
      <w:bookmarkEnd w:id="215"/>
      <w:bookmarkEnd w:id="216"/>
    </w:p>
    <w:p w14:paraId="4BAF354C">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Se debe tener presente que el pagaré es un requisito fundamental en la colocación de un crédito, toda vez que se constituye en un instrumento que garantiza la recuperación del dinero prestado.</w:t>
      </w:r>
    </w:p>
    <w:p w14:paraId="1B9C8DD0">
      <w:pPr>
        <w:ind w:left="142"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El pagaré deberá diligenciarse totalmente antes de proceder a tomar las firmas respectivas, así mismo, NO SE PODRA DESEMBOLSAR EL DINERO hasta tanto se haya firmado el pagaré.</w:t>
      </w:r>
    </w:p>
    <w:p w14:paraId="5FF918F0">
      <w:pPr>
        <w:pStyle w:val="3"/>
      </w:pPr>
      <w:bookmarkStart w:id="217" w:name="_Toc269282017"/>
      <w:bookmarkStart w:id="218" w:name="_Toc182642868"/>
      <w:bookmarkStart w:id="219" w:name="_Toc151443670"/>
      <w:r>
        <w:t>Disposiciones Generales Para El Desembolso</w:t>
      </w:r>
      <w:bookmarkEnd w:id="217"/>
      <w:bookmarkEnd w:id="218"/>
      <w:bookmarkEnd w:id="219"/>
    </w:p>
    <w:p w14:paraId="723E87C0">
      <w:pPr>
        <w:tabs>
          <w:tab w:val="left" w:pos="-720"/>
        </w:tabs>
        <w:suppressAutoHyphens/>
        <w:ind w:left="142"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Si después de 60 días de aprobado el crédito con garantía admisible o 30 con otro tipo de garantía, aún no se ha desembolsado, requiere nuevamente el análisis y aprobación de la solicitud por el mismo ente que lo aprobó inicialmente. Lo anterior por cuanto todos los estados financieros de una persona, así como su patrimonio puede variar.</w:t>
      </w:r>
    </w:p>
    <w:p w14:paraId="63EAC569">
      <w:pPr>
        <w:suppressAutoHyphens/>
        <w:autoSpaceDE w:val="0"/>
        <w:autoSpaceDN w:val="0"/>
        <w:adjustRightInd w:val="0"/>
        <w:spacing w:after="0" w:line="240" w:lineRule="auto"/>
        <w:ind w:left="142" w:right="49"/>
        <w:jc w:val="both"/>
        <w:rPr>
          <w:rFonts w:cs="Arial"/>
          <w:color w:val="000000" w:themeColor="text1"/>
          <w:spacing w:val="-3"/>
          <w:szCs w:val="24"/>
          <w14:textFill>
            <w14:solidFill>
              <w14:schemeClr w14:val="tx1"/>
            </w14:solidFill>
          </w14:textFill>
        </w:rPr>
      </w:pPr>
      <w:r>
        <w:rPr>
          <w:rFonts w:cs="Arial"/>
          <w:color w:val="000000" w:themeColor="text1"/>
          <w:spacing w:val="-3"/>
          <w:szCs w:val="24"/>
          <w14:textFill>
            <w14:solidFill>
              <w14:schemeClr w14:val="tx1"/>
            </w14:solidFill>
          </w14:textFill>
        </w:rPr>
        <w:t>Si el valor aprobado no es el mismo registrado en la solicitud de crédito, se deberá contar con la aceptación expresa del asociado, quien la podrá manifestar mediante cualquier mecanismo del cual quede prueba. En todo caso el valor del pagaré que resulte de la operación deberá corresponder únicamente al valor del crédito efectivamente pactado entre las partes.</w:t>
      </w:r>
    </w:p>
    <w:p w14:paraId="40A4464E">
      <w:pPr>
        <w:pStyle w:val="3"/>
      </w:pPr>
      <w:bookmarkStart w:id="220" w:name="_Toc182642869"/>
      <w:bookmarkStart w:id="221" w:name="_Toc269282018"/>
      <w:bookmarkStart w:id="222" w:name="_Toc460118546"/>
      <w:bookmarkStart w:id="223" w:name="_Toc151443671"/>
      <w:r>
        <w:t>Seguro De Vida Deudores</w:t>
      </w:r>
      <w:bookmarkEnd w:id="220"/>
      <w:bookmarkEnd w:id="221"/>
      <w:bookmarkEnd w:id="222"/>
      <w:bookmarkEnd w:id="223"/>
      <w:r>
        <w:t xml:space="preserve"> </w:t>
      </w:r>
    </w:p>
    <w:p w14:paraId="6371F46C">
      <w:pPr>
        <w:ind w:right="49"/>
        <w:jc w:val="both"/>
        <w:rPr>
          <w:rFonts w:cs="Arial"/>
          <w:color w:val="000000" w:themeColor="text1"/>
          <w:szCs w:val="24"/>
          <w14:textFill>
            <w14:solidFill>
              <w14:schemeClr w14:val="tx1"/>
            </w14:solidFill>
          </w14:textFill>
        </w:rPr>
      </w:pPr>
    </w:p>
    <w:p w14:paraId="122CDF0F">
      <w:pPr>
        <w:ind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Toda la Cartera de la Cooperativa deberá estar amparada por una póliza de seguro de vida para deudores, cuyo costo es asumido por el deudor.</w:t>
      </w:r>
    </w:p>
    <w:p w14:paraId="6EBBB304">
      <w:pPr>
        <w:ind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Las condiciones de esta Póliza son:</w:t>
      </w:r>
    </w:p>
    <w:p w14:paraId="31CF9BC9">
      <w:pPr>
        <w:pStyle w:val="67"/>
        <w:numPr>
          <w:ilvl w:val="0"/>
          <w:numId w:val="29"/>
        </w:numPr>
        <w:ind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La Póliza ampara muerte e incapacidad total y permanente.</w:t>
      </w:r>
    </w:p>
    <w:p w14:paraId="04984743">
      <w:pPr>
        <w:pStyle w:val="67"/>
        <w:numPr>
          <w:ilvl w:val="0"/>
          <w:numId w:val="29"/>
        </w:numPr>
        <w:ind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Asegura deudores entre 18 y 74 años con 364 días.</w:t>
      </w:r>
    </w:p>
    <w:p w14:paraId="60F295A0">
      <w:pPr>
        <w:pStyle w:val="67"/>
        <w:numPr>
          <w:ilvl w:val="0"/>
          <w:numId w:val="29"/>
        </w:numPr>
        <w:ind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El valor asegurado es hasta $150´000.000</w:t>
      </w:r>
    </w:p>
    <w:p w14:paraId="5563157B">
      <w:pPr>
        <w:pStyle w:val="67"/>
        <w:numPr>
          <w:ilvl w:val="0"/>
          <w:numId w:val="29"/>
        </w:numPr>
        <w:ind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Para créditos superiores $150´000.000, se solicita una póliza de vida individual por el monto adicional.</w:t>
      </w:r>
    </w:p>
    <w:p w14:paraId="0F00A83C">
      <w:pPr>
        <w:pStyle w:val="67"/>
        <w:numPr>
          <w:ilvl w:val="0"/>
          <w:numId w:val="29"/>
        </w:numPr>
        <w:ind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El Asociado deberá diligenciar y firmar el formato de declaración de asegurabilidad.</w:t>
      </w:r>
    </w:p>
    <w:p w14:paraId="1BF2F17E">
      <w:pPr>
        <w:ind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La póliza de seguros de vida deudores no se contratará individualmente ya que la cooperativa mediante suscripción de una póliza global protegerá a todos los deudores, con excepción de las personas mayores de 74 años y 363 días y de aquellas que a juicio de la aseguradora no son asegurables. Este tipo de póliza ampara los riesgos de invalidez y muerte, y reconoce el 100% del saldo de la deuda en el momento del siniestro.</w:t>
      </w:r>
    </w:p>
    <w:p w14:paraId="41E61455">
      <w:pPr>
        <w:ind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Cuando la póliza global no cubra al deudor entonces se deberá informar al asociado sobre la posibilidad de adquirir otro tipo de póliza, de no ser aceptada entonces quedará por escrito que a voluntad del deudor y codeudores el crédito queda sin seguro de vida y que será responsabilidad de los codeudores o familiar responsable el pago de la deuda en caso de fallecimiento del deudor, para lo cual tanto el deudor como codeudores firmaran la carta de conocimiento y aceptación de responsabilidad de pago en caso de fallecimiento del deudor.F-CRE-10.</w:t>
      </w:r>
    </w:p>
    <w:p w14:paraId="78FC6B8F">
      <w:pPr>
        <w:ind w:right="49"/>
        <w:jc w:val="both"/>
        <w:rPr>
          <w:rFonts w:cs="Arial"/>
          <w:color w:val="000000" w:themeColor="text1"/>
          <w:szCs w:val="24"/>
          <w14:textFill>
            <w14:solidFill>
              <w14:schemeClr w14:val="tx1"/>
            </w14:solidFill>
          </w14:textFill>
        </w:rPr>
      </w:pPr>
    </w:p>
    <w:p w14:paraId="4181FE0E">
      <w:pPr>
        <w:ind w:right="49"/>
        <w:jc w:val="both"/>
        <w:rPr>
          <w:rFonts w:cs="Arial"/>
          <w:color w:val="000000" w:themeColor="text1"/>
          <w:szCs w:val="24"/>
          <w14:textFill>
            <w14:solidFill>
              <w14:schemeClr w14:val="tx1"/>
            </w14:solidFill>
          </w14:textFill>
        </w:rPr>
      </w:pPr>
    </w:p>
    <w:p w14:paraId="1134CCDE">
      <w:pPr>
        <w:ind w:right="49"/>
        <w:jc w:val="both"/>
        <w:rPr>
          <w:rFonts w:cs="Arial"/>
          <w:color w:val="000000" w:themeColor="text1"/>
          <w:szCs w:val="24"/>
          <w14:textFill>
            <w14:solidFill>
              <w14:schemeClr w14:val="tx1"/>
            </w14:solidFill>
          </w14:textFill>
        </w:rPr>
      </w:pPr>
    </w:p>
    <w:p w14:paraId="0000B1A7">
      <w:pPr>
        <w:ind w:right="49"/>
        <w:jc w:val="both"/>
        <w:rPr>
          <w:rFonts w:cs="Arial"/>
          <w:color w:val="000000" w:themeColor="text1"/>
          <w:szCs w:val="24"/>
          <w14:textFill>
            <w14:solidFill>
              <w14:schemeClr w14:val="tx1"/>
            </w14:solidFill>
          </w14:textFill>
        </w:rPr>
      </w:pPr>
    </w:p>
    <w:p w14:paraId="238C88C3">
      <w:pPr>
        <w:ind w:right="49"/>
        <w:jc w:val="both"/>
        <w:rPr>
          <w:rFonts w:cs="Arial"/>
          <w:color w:val="000000" w:themeColor="text1"/>
          <w:szCs w:val="24"/>
          <w14:textFill>
            <w14:solidFill>
              <w14:schemeClr w14:val="tx1"/>
            </w14:solidFill>
          </w14:textFill>
        </w:rPr>
      </w:pPr>
    </w:p>
    <w:p w14:paraId="268AE02D">
      <w:pPr>
        <w:ind w:right="49"/>
        <w:jc w:val="both"/>
        <w:rPr>
          <w:rFonts w:cs="Arial"/>
          <w:color w:val="000000" w:themeColor="text1"/>
          <w:szCs w:val="24"/>
          <w14:textFill>
            <w14:solidFill>
              <w14:schemeClr w14:val="tx1"/>
            </w14:solidFill>
          </w14:textFill>
        </w:rPr>
      </w:pPr>
    </w:p>
    <w:p w14:paraId="43EB6E05">
      <w:pPr>
        <w:ind w:right="49"/>
        <w:jc w:val="both"/>
        <w:rPr>
          <w:rFonts w:cs="Arial"/>
          <w:color w:val="000000" w:themeColor="text1"/>
          <w:szCs w:val="24"/>
          <w14:textFill>
            <w14:solidFill>
              <w14:schemeClr w14:val="tx1"/>
            </w14:solidFill>
          </w14:textFill>
        </w:rPr>
      </w:pPr>
    </w:p>
    <w:p w14:paraId="294F180B">
      <w:pPr>
        <w:ind w:right="49"/>
        <w:jc w:val="both"/>
        <w:rPr>
          <w:rFonts w:cs="Arial"/>
          <w:color w:val="000000" w:themeColor="text1"/>
          <w:szCs w:val="24"/>
          <w14:textFill>
            <w14:solidFill>
              <w14:schemeClr w14:val="tx1"/>
            </w14:solidFill>
          </w14:textFill>
        </w:rPr>
      </w:pPr>
    </w:p>
    <w:p w14:paraId="4DCFEFF2">
      <w:pPr>
        <w:ind w:right="49"/>
        <w:jc w:val="both"/>
        <w:rPr>
          <w:rFonts w:cs="Arial"/>
          <w:color w:val="000000" w:themeColor="text1"/>
          <w:szCs w:val="24"/>
          <w14:textFill>
            <w14:solidFill>
              <w14:schemeClr w14:val="tx1"/>
            </w14:solidFill>
          </w14:textFill>
        </w:rPr>
      </w:pPr>
    </w:p>
    <w:p w14:paraId="33C5851F">
      <w:pPr>
        <w:ind w:right="49"/>
        <w:jc w:val="both"/>
        <w:rPr>
          <w:rFonts w:cs="Arial"/>
          <w:color w:val="000000" w:themeColor="text1"/>
          <w:szCs w:val="24"/>
          <w14:textFill>
            <w14:solidFill>
              <w14:schemeClr w14:val="tx1"/>
            </w14:solidFill>
          </w14:textFill>
        </w:rPr>
      </w:pPr>
    </w:p>
    <w:p w14:paraId="3C58B4F5">
      <w:pPr>
        <w:ind w:right="49"/>
        <w:jc w:val="both"/>
        <w:rPr>
          <w:rFonts w:cs="Arial"/>
          <w:color w:val="000000" w:themeColor="text1"/>
          <w:szCs w:val="24"/>
          <w14:textFill>
            <w14:solidFill>
              <w14:schemeClr w14:val="tx1"/>
            </w14:solidFill>
          </w14:textFill>
        </w:rPr>
      </w:pPr>
    </w:p>
    <w:p w14:paraId="7F1E1669">
      <w:pPr>
        <w:ind w:right="49"/>
        <w:jc w:val="both"/>
        <w:rPr>
          <w:rFonts w:cs="Arial"/>
          <w:color w:val="000000" w:themeColor="text1"/>
          <w:szCs w:val="24"/>
          <w14:textFill>
            <w14:solidFill>
              <w14:schemeClr w14:val="tx1"/>
            </w14:solidFill>
          </w14:textFill>
        </w:rPr>
      </w:pPr>
    </w:p>
    <w:p w14:paraId="242DBE16">
      <w:pPr>
        <w:ind w:right="49"/>
        <w:jc w:val="both"/>
        <w:rPr>
          <w:rFonts w:cs="Arial"/>
          <w:color w:val="000000" w:themeColor="text1"/>
          <w:szCs w:val="24"/>
          <w14:textFill>
            <w14:solidFill>
              <w14:schemeClr w14:val="tx1"/>
            </w14:solidFill>
          </w14:textFill>
        </w:rPr>
      </w:pPr>
    </w:p>
    <w:p w14:paraId="447BFEC4">
      <w:pPr>
        <w:ind w:right="49"/>
        <w:jc w:val="both"/>
        <w:rPr>
          <w:rFonts w:cs="Arial"/>
          <w:color w:val="000000" w:themeColor="text1"/>
          <w:szCs w:val="24"/>
          <w14:textFill>
            <w14:solidFill>
              <w14:schemeClr w14:val="tx1"/>
            </w14:solidFill>
          </w14:textFill>
        </w:rPr>
      </w:pPr>
    </w:p>
    <w:p w14:paraId="1122EA81">
      <w:pPr>
        <w:ind w:right="49"/>
        <w:jc w:val="both"/>
        <w:rPr>
          <w:rFonts w:cs="Arial"/>
          <w:color w:val="000000" w:themeColor="text1"/>
          <w:szCs w:val="24"/>
          <w14:textFill>
            <w14:solidFill>
              <w14:schemeClr w14:val="tx1"/>
            </w14:solidFill>
          </w14:textFill>
        </w:rPr>
      </w:pPr>
    </w:p>
    <w:p w14:paraId="59309E83">
      <w:pPr>
        <w:ind w:right="49"/>
        <w:jc w:val="both"/>
        <w:rPr>
          <w:rFonts w:cs="Arial"/>
          <w:color w:val="000000" w:themeColor="text1"/>
          <w:szCs w:val="24"/>
          <w14:textFill>
            <w14:solidFill>
              <w14:schemeClr w14:val="tx1"/>
            </w14:solidFill>
          </w14:textFill>
        </w:rPr>
      </w:pPr>
    </w:p>
    <w:p w14:paraId="17DE150A">
      <w:pPr>
        <w:ind w:right="49"/>
        <w:jc w:val="both"/>
        <w:rPr>
          <w:rFonts w:cs="Arial"/>
          <w:color w:val="000000" w:themeColor="text1"/>
          <w:szCs w:val="24"/>
          <w14:textFill>
            <w14:solidFill>
              <w14:schemeClr w14:val="tx1"/>
            </w14:solidFill>
          </w14:textFill>
        </w:rPr>
      </w:pPr>
    </w:p>
    <w:p w14:paraId="45349B3F">
      <w:pPr>
        <w:ind w:right="49"/>
        <w:jc w:val="both"/>
        <w:rPr>
          <w:rFonts w:cs="Arial"/>
          <w:color w:val="000000" w:themeColor="text1"/>
          <w:szCs w:val="24"/>
          <w14:textFill>
            <w14:solidFill>
              <w14:schemeClr w14:val="tx1"/>
            </w14:solidFill>
          </w14:textFill>
        </w:rPr>
      </w:pPr>
    </w:p>
    <w:p w14:paraId="6922D264">
      <w:pPr>
        <w:pStyle w:val="2"/>
      </w:pPr>
      <w:r>
        <w:t xml:space="preserve"> </w:t>
      </w:r>
      <w:bookmarkStart w:id="224" w:name="_Toc182642870"/>
      <w:r>
        <w:t>GESTIÓN DE COBRANZA</w:t>
      </w:r>
      <w:bookmarkEnd w:id="224"/>
    </w:p>
    <w:p w14:paraId="4C853819">
      <w:pPr>
        <w:ind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La calidad en la gestión de cobranza es fundamental en la Cooperativa para la recuperación oportuna de la cartera de créditos, los plazos establecidos para la ejecución de cobro directo deben ceñirse a los diferentes lineamientos dados.</w:t>
      </w:r>
    </w:p>
    <w:p w14:paraId="2030C2F5">
      <w:pPr>
        <w:ind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Los procesos de cobranza, siempre deben agotarse las posibilidades de arreglo directo, independientemente de la etapa de cobro mediante una labor Oportuna, Motivante, con Información Integral.</w:t>
      </w:r>
    </w:p>
    <w:p w14:paraId="575C3CD1">
      <w:pPr>
        <w:ind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La función de seguimiento a cargo de los funcionarios del comité de riesgos de cartera debe culminar en un proceso eficiente de cobranza y recuperación de la cartera, procurando que se dé en los términos originalmente pactados.</w:t>
      </w:r>
    </w:p>
    <w:p w14:paraId="38C5DB87">
      <w:pPr>
        <w:ind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La gestión de cobro empieza desde el momento de la entrevista con el asociado.  </w:t>
      </w:r>
    </w:p>
    <w:p w14:paraId="19839307">
      <w:pPr>
        <w:ind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El área de cartera, es el área encargada de liderar la gestión de cobranza de la cooperativa.</w:t>
      </w:r>
    </w:p>
    <w:p w14:paraId="67AC23DF">
      <w:pPr>
        <w:ind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La gestión de cobro se debe realizar con profesionalismo, conservando y manteniendo la confianza del asociado, teniendo en cuenta que con cada mensaje se pone en tela de juicio la imagen de COOPCALLEJONA.</w:t>
      </w:r>
    </w:p>
    <w:p w14:paraId="51E901EB">
      <w:pPr>
        <w:ind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La gestión de cobro debe perseguir dos objetivos principales: en primer lugar, recordarle al Asociado el estado de su obligación, bien sea porque esté próxima a vencerse o porque se encuentre en mora; y en segundo lugar, continuar con el proceso de asesoría al Asociado en el cual se le ofrezcan alternativas de solución para el pago oportuno cuando se haya modificado sustancialmente la situación económica después de la aprobación del crédito.</w:t>
      </w:r>
    </w:p>
    <w:p w14:paraId="1150F063">
      <w:pPr>
        <w:ind w:right="49"/>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Para conservar una cartera productiva y una adecuada rotación de la misma, se requiere efectuar una labor ordenada de cobro, toda vez que ésta permitirá evitar el deterioro de la cartera y el impacto negativo en el estado de resultados.</w:t>
      </w:r>
    </w:p>
    <w:p w14:paraId="3309389E">
      <w:pPr>
        <w:pStyle w:val="3"/>
      </w:pPr>
      <w:bookmarkStart w:id="225" w:name="_Toc182642871"/>
      <w:bookmarkStart w:id="226" w:name="_Toc151443674"/>
      <w:r>
        <w:t>Responsables De La Gestión De Cobranza</w:t>
      </w:r>
      <w:bookmarkEnd w:id="225"/>
      <w:bookmarkEnd w:id="226"/>
    </w:p>
    <w:p w14:paraId="1FCCC907">
      <w:pPr>
        <w:jc w:val="both"/>
        <w:rPr>
          <w:lang w:val="es-ES" w:eastAsia="es-ES" w:bidi="en-US"/>
        </w:rPr>
      </w:pPr>
      <w:r>
        <w:rPr>
          <w:lang w:val="es-ES" w:eastAsia="es-ES" w:bidi="en-US"/>
        </w:rPr>
        <w:t>El auxiliar administrativo de crédito y cartera y la gerencia, son las personas responsables de liderar la labor de cobranza de la cartera vencida.</w:t>
      </w:r>
    </w:p>
    <w:p w14:paraId="49A24531">
      <w:pPr>
        <w:jc w:val="both"/>
        <w:rPr>
          <w:lang w:val="es-ES" w:eastAsia="es-ES" w:bidi="en-US"/>
        </w:rPr>
      </w:pPr>
      <w:r>
        <w:rPr>
          <w:lang w:val="es-ES" w:eastAsia="es-ES" w:bidi="en-US"/>
        </w:rPr>
        <w:t>Las estrategias de cobranza deben ser adecuadamente planeadas (cartas, llamadas, entrevistas, etc.).</w:t>
      </w:r>
    </w:p>
    <w:p w14:paraId="6597DD54">
      <w:pPr>
        <w:pStyle w:val="3"/>
      </w:pPr>
      <w:bookmarkStart w:id="227" w:name="_Toc182642872"/>
      <w:r>
        <w:t>Proceso De Cobro</w:t>
      </w:r>
      <w:bookmarkEnd w:id="227"/>
    </w:p>
    <w:p w14:paraId="5A592DD6">
      <w:pPr>
        <w:jc w:val="both"/>
        <w:rPr>
          <w:lang w:val="es-ES" w:eastAsia="es-ES" w:bidi="en-US"/>
        </w:rPr>
      </w:pPr>
      <w:r>
        <w:rPr>
          <w:lang w:val="es-ES" w:eastAsia="es-ES" w:bidi="en-US"/>
        </w:rPr>
        <w:t>En atención a la entrada en vigor de la Ley 2300 del 10 de julio de 2023, cuyo principal objetivo es proteger el derecho a la intimidad de los consumidores, estableciendo los canales, el horario y la periodicidad en la que estos pueden ser contactados por las entidades vigiladas por la Superintendencia Financiera y todas las personas naturales y jurídicas que adelanten gestiones de cobranzas de forma directa, por medio de terceros o por cesión de la obligación, entre las cuales están incluidas las entidades del sector de la economía solidaria, se establecen las siguiente políticas orientadas a la gestión de la cobranza:</w:t>
      </w:r>
    </w:p>
    <w:p w14:paraId="2A404B8D">
      <w:pPr>
        <w:jc w:val="both"/>
        <w:rPr>
          <w:lang w:val="es-ES" w:eastAsia="es-ES" w:bidi="en-US"/>
        </w:rPr>
      </w:pPr>
      <w:r>
        <w:rPr>
          <w:lang w:val="es-ES" w:eastAsia="es-ES" w:bidi="en-US"/>
        </w:rPr>
        <w:t>-</w:t>
      </w:r>
      <w:r>
        <w:rPr>
          <w:lang w:val="es-ES" w:eastAsia="es-ES" w:bidi="en-US"/>
        </w:rPr>
        <w:tab/>
      </w:r>
      <w:r>
        <w:rPr>
          <w:lang w:val="es-ES" w:eastAsia="es-ES" w:bidi="en-US"/>
        </w:rPr>
        <w:t>Información a deudores y codeudores: Los asesores comerciales de COOPCALLEJONA entregarán información sobre la gestión de cobranza, para lo cual se hará entrega del Formato de Gestión de Cobranza; en el que se indica, sobre el proceso de cobranza y reporte a las centrales de riesgos.</w:t>
      </w:r>
    </w:p>
    <w:p w14:paraId="7F9F2DC5">
      <w:pPr>
        <w:jc w:val="both"/>
        <w:rPr>
          <w:lang w:val="es-ES" w:eastAsia="es-ES" w:bidi="en-US"/>
        </w:rPr>
      </w:pPr>
      <w:r>
        <w:rPr>
          <w:lang w:val="es-ES" w:eastAsia="es-ES" w:bidi="en-US"/>
        </w:rPr>
        <w:t>-</w:t>
      </w:r>
      <w:r>
        <w:rPr>
          <w:lang w:val="es-ES" w:eastAsia="es-ES" w:bidi="en-US"/>
        </w:rPr>
        <w:tab/>
      </w:r>
      <w:r>
        <w:rPr>
          <w:lang w:val="es-ES" w:eastAsia="es-ES" w:bidi="en-US"/>
        </w:rPr>
        <w:t xml:space="preserve">Información preliminar: En el formato de atención a los potenciales deudores en la que se entrega condiciones y requisitos del crédito, se incorpora información relacionada con la gestión de cobranza y reporte centrales de información. </w:t>
      </w:r>
    </w:p>
    <w:p w14:paraId="18ABDEB2">
      <w:pPr>
        <w:jc w:val="both"/>
        <w:rPr>
          <w:lang w:val="es-ES" w:eastAsia="es-ES" w:bidi="en-US"/>
        </w:rPr>
      </w:pPr>
      <w:r>
        <w:rPr>
          <w:lang w:val="es-ES" w:eastAsia="es-ES" w:bidi="en-US"/>
        </w:rPr>
        <w:t>-</w:t>
      </w:r>
      <w:r>
        <w:rPr>
          <w:lang w:val="es-ES" w:eastAsia="es-ES" w:bidi="en-US"/>
        </w:rPr>
        <w:tab/>
      </w:r>
      <w:r>
        <w:rPr>
          <w:lang w:val="es-ES" w:eastAsia="es-ES" w:bidi="en-US"/>
        </w:rPr>
        <w:t>Canales autorizados: En el formato utilizado en el proceso de otorgamiento de crédito se incorporará clausula adicional, con el propósito de que los potenciales deudores y codeudores determinen o elijan los canales autorizados con el fin de que voluntariamente elijan cuales autoriza.</w:t>
      </w:r>
    </w:p>
    <w:p w14:paraId="148B1D85">
      <w:pPr>
        <w:jc w:val="both"/>
        <w:rPr>
          <w:lang w:val="es-ES" w:eastAsia="es-ES" w:bidi="en-US"/>
        </w:rPr>
      </w:pPr>
      <w:r>
        <w:rPr>
          <w:lang w:val="es-ES" w:eastAsia="es-ES" w:bidi="en-US"/>
        </w:rPr>
        <w:t>-</w:t>
      </w:r>
      <w:r>
        <w:rPr>
          <w:lang w:val="es-ES" w:eastAsia="es-ES" w:bidi="en-US"/>
        </w:rPr>
        <w:tab/>
      </w:r>
      <w:r>
        <w:rPr>
          <w:lang w:val="es-ES" w:eastAsia="es-ES" w:bidi="en-US"/>
        </w:rPr>
        <w:t>Señales de alerta: Para efectos de control se fijará señal de alerta en el sistema que informe la forma de contacto.</w:t>
      </w:r>
    </w:p>
    <w:p w14:paraId="37F83C67">
      <w:pPr>
        <w:jc w:val="both"/>
        <w:rPr>
          <w:lang w:val="es-ES" w:eastAsia="es-ES" w:bidi="en-US"/>
        </w:rPr>
      </w:pPr>
      <w:r>
        <w:rPr>
          <w:lang w:val="es-ES" w:eastAsia="es-ES" w:bidi="en-US"/>
        </w:rPr>
        <w:t>-</w:t>
      </w:r>
      <w:r>
        <w:rPr>
          <w:lang w:val="es-ES" w:eastAsia="es-ES" w:bidi="en-US"/>
        </w:rPr>
        <w:tab/>
      </w:r>
      <w:r>
        <w:rPr>
          <w:lang w:val="es-ES" w:eastAsia="es-ES" w:bidi="en-US"/>
        </w:rPr>
        <w:t xml:space="preserve">Horarios: La gestión de cobranza aplicará en los siguientes horarios: </w:t>
      </w:r>
    </w:p>
    <w:p w14:paraId="49320107">
      <w:pPr>
        <w:jc w:val="both"/>
        <w:rPr>
          <w:lang w:val="es-ES" w:eastAsia="es-ES" w:bidi="en-US"/>
        </w:rPr>
      </w:pPr>
      <w:r>
        <w:rPr>
          <w:lang w:val="es-ES" w:eastAsia="es-ES" w:bidi="en-US"/>
        </w:rPr>
        <w:t>Lunes a viernes de 7:00 am a 7:00 pm, y sábados de 8:00 am a 3:00 pm Queda terminantemente prohibido contactar deudores para realizar gestión de cobranza, en los días domingo y festivos</w:t>
      </w:r>
    </w:p>
    <w:p w14:paraId="1E5E3992">
      <w:pPr>
        <w:jc w:val="both"/>
        <w:rPr>
          <w:lang w:val="es-ES" w:eastAsia="es-ES" w:bidi="en-US"/>
        </w:rPr>
      </w:pPr>
      <w:r>
        <w:rPr>
          <w:lang w:val="es-ES" w:eastAsia="es-ES" w:bidi="en-US"/>
        </w:rPr>
        <w:t>-</w:t>
      </w:r>
      <w:r>
        <w:rPr>
          <w:lang w:val="es-ES" w:eastAsia="es-ES" w:bidi="en-US"/>
        </w:rPr>
        <w:tab/>
      </w:r>
      <w:r>
        <w:rPr>
          <w:lang w:val="es-ES" w:eastAsia="es-ES" w:bidi="en-US"/>
        </w:rPr>
        <w:t>Periodicidad: En ninguna circunstancia se podrá contactar a los deudores por varios canales dentro de una misma semana, ni en más de una ocasión durante el mismo día.</w:t>
      </w:r>
    </w:p>
    <w:p w14:paraId="1FD34938">
      <w:pPr>
        <w:jc w:val="both"/>
        <w:rPr>
          <w:lang w:val="es-ES" w:eastAsia="es-ES" w:bidi="en-US"/>
        </w:rPr>
      </w:pPr>
      <w:r>
        <w:rPr>
          <w:lang w:val="es-ES" w:eastAsia="es-ES" w:bidi="en-US"/>
        </w:rPr>
        <w:t>-</w:t>
      </w:r>
      <w:r>
        <w:rPr>
          <w:lang w:val="es-ES" w:eastAsia="es-ES" w:bidi="en-US"/>
        </w:rPr>
        <w:tab/>
      </w:r>
      <w:r>
        <w:rPr>
          <w:lang w:val="es-ES" w:eastAsia="es-ES" w:bidi="en-US"/>
        </w:rPr>
        <w:t>Contacto con referencia y personas no incluidas en el contrato de crédito: A los empleados de COOPCALLEJONA les está prohibido contactar y/o entregar información relacionada con un crédito a personas que no hagan parte de la responsabilidad sobre la obligación. La gestión responsable y respetuosa debe dirigirse solo al deudor y/o codeudores. En ninguna circunstancia se puede contactar a personas que según comentarios son los que están pagando los créditos, este solo puede ser posible con quienes suscribieron el pagaré y demás documentos contentivos del crédito.</w:t>
      </w:r>
    </w:p>
    <w:p w14:paraId="07AC9F25">
      <w:pPr>
        <w:jc w:val="both"/>
        <w:rPr>
          <w:lang w:val="es-ES" w:eastAsia="es-ES" w:bidi="en-US"/>
        </w:rPr>
      </w:pPr>
      <w:r>
        <w:rPr>
          <w:lang w:val="es-ES" w:eastAsia="es-ES" w:bidi="en-US"/>
        </w:rPr>
        <w:t>-</w:t>
      </w:r>
      <w:r>
        <w:rPr>
          <w:lang w:val="es-ES" w:eastAsia="es-ES" w:bidi="en-US"/>
        </w:rPr>
        <w:tab/>
      </w:r>
      <w:r>
        <w:rPr>
          <w:lang w:val="es-ES" w:eastAsia="es-ES" w:bidi="en-US"/>
        </w:rPr>
        <w:t>Gestión de cobranza en domicilio o lugar de trabajo de deudor y/o codeudores: Ningún funcionario de COOPCALLEJONA podrá realizar gestión de cobranza realizando visita al lugar de domicilio o trabajo de los obligados, ni tampoco en la calle u otros sitios en donde se les ubique, a excepción de que el deudor lo haya autorizado.</w:t>
      </w:r>
    </w:p>
    <w:p w14:paraId="046211F5">
      <w:pPr>
        <w:jc w:val="both"/>
        <w:rPr>
          <w:lang w:val="es-ES" w:eastAsia="es-ES" w:bidi="en-US"/>
        </w:rPr>
      </w:pPr>
      <w:r>
        <w:rPr>
          <w:lang w:val="es-ES" w:eastAsia="es-ES" w:bidi="en-US"/>
        </w:rPr>
        <w:t>Atendiendo la regulación estatal se podrá realizar este tipo de cobranza a los créditos microcréditos, los productivos, créditos otorgados con recursos de redescuento o crédito directo con Finagro, Bancóldex y Findeter. Previamente se deberá consultar la documentación para verificar que exista autorización expresa del consumidor.</w:t>
      </w:r>
    </w:p>
    <w:p w14:paraId="41578A5E">
      <w:pPr>
        <w:jc w:val="both"/>
        <w:rPr>
          <w:lang w:val="es-ES" w:eastAsia="es-ES" w:bidi="en-US"/>
        </w:rPr>
      </w:pPr>
      <w:r>
        <w:rPr>
          <w:lang w:val="es-ES" w:eastAsia="es-ES" w:bidi="en-US"/>
        </w:rPr>
        <w:t xml:space="preserve">En caso de que no sea posible ubicar a deudor y/o codeudor con base en la información disponible en la base de datos, se podrá realizar la gestión de visita, pero previamente se deberá constancia de los intentos realizados para la ubicación, en la plataforma interna de la cooperativa. </w:t>
      </w:r>
    </w:p>
    <w:p w14:paraId="566411FD">
      <w:pPr>
        <w:jc w:val="both"/>
        <w:rPr>
          <w:lang w:val="es-ES" w:eastAsia="es-ES" w:bidi="en-US"/>
        </w:rPr>
      </w:pPr>
      <w:r>
        <w:rPr>
          <w:lang w:val="es-ES" w:eastAsia="es-ES" w:bidi="en-US"/>
        </w:rPr>
        <w:t>-</w:t>
      </w:r>
      <w:r>
        <w:rPr>
          <w:lang w:val="es-ES" w:eastAsia="es-ES" w:bidi="en-US"/>
        </w:rPr>
        <w:tab/>
      </w:r>
      <w:r>
        <w:rPr>
          <w:lang w:val="es-ES" w:eastAsia="es-ES" w:bidi="en-US"/>
        </w:rPr>
        <w:t>Motivos para incurrir en mora: El personal autorizado para la gestión de cobranza debe limitar su función a informar sobre el incumplimiento en el crédito, generar compromisos de pago y alternativas para resolver la situación, las cuales se consignarán en el aplicativo. Queda terminantemente prohibido solicitar explicaciones sobre el motivo que genera la mora.</w:t>
      </w:r>
    </w:p>
    <w:p w14:paraId="5812E895">
      <w:pPr>
        <w:jc w:val="both"/>
        <w:rPr>
          <w:lang w:val="es-ES" w:eastAsia="es-ES" w:bidi="en-US"/>
        </w:rPr>
      </w:pPr>
      <w:r>
        <w:rPr>
          <w:lang w:val="es-ES" w:eastAsia="es-ES" w:bidi="en-US"/>
        </w:rPr>
        <w:t>-</w:t>
      </w:r>
      <w:r>
        <w:rPr>
          <w:lang w:val="es-ES" w:eastAsia="es-ES" w:bidi="en-US"/>
        </w:rPr>
        <w:tab/>
      </w:r>
      <w:r>
        <w:rPr>
          <w:lang w:val="es-ES" w:eastAsia="es-ES" w:bidi="en-US"/>
        </w:rPr>
        <w:t>Estructura organizacional - Personal autorizado para la cobranza: Con el propósito de atender adecuadamente la gestión de cobranza y evitar la trasgresión de la Ley 2300 de 2023, COOPCALLEJONA centraliza el proceso de cobranza, la cual será atendida por el siguiente personal:</w:t>
      </w:r>
    </w:p>
    <w:p w14:paraId="68717584">
      <w:pPr>
        <w:jc w:val="both"/>
        <w:rPr>
          <w:lang w:val="es-ES" w:eastAsia="es-ES" w:bidi="en-US"/>
        </w:rPr>
      </w:pPr>
      <w:r>
        <w:rPr>
          <w:lang w:val="es-ES" w:eastAsia="es-ES" w:bidi="en-US"/>
        </w:rPr>
        <w:t>a) Auxiliar administrativo de crédito y cartera</w:t>
      </w:r>
    </w:p>
    <w:p w14:paraId="62269D3F">
      <w:pPr>
        <w:jc w:val="both"/>
        <w:rPr>
          <w:lang w:val="es-ES" w:eastAsia="es-ES" w:bidi="en-US"/>
        </w:rPr>
      </w:pPr>
      <w:r>
        <w:rPr>
          <w:lang w:val="es-ES" w:eastAsia="es-ES" w:bidi="en-US"/>
        </w:rPr>
        <w:t>b) Gerencia</w:t>
      </w:r>
    </w:p>
    <w:p w14:paraId="63B63D8A">
      <w:pPr>
        <w:jc w:val="both"/>
        <w:rPr>
          <w:lang w:val="es-ES" w:eastAsia="es-ES" w:bidi="en-US"/>
        </w:rPr>
      </w:pPr>
      <w:r>
        <w:rPr>
          <w:lang w:val="es-ES" w:eastAsia="es-ES" w:bidi="en-US"/>
        </w:rPr>
        <w:t>c) Jurídicos</w:t>
      </w:r>
    </w:p>
    <w:p w14:paraId="6163C93F">
      <w:pPr>
        <w:jc w:val="both"/>
        <w:rPr>
          <w:lang w:val="es-ES" w:eastAsia="es-ES" w:bidi="en-US"/>
        </w:rPr>
      </w:pPr>
      <w:r>
        <w:rPr>
          <w:lang w:val="es-ES" w:eastAsia="es-ES" w:bidi="en-US"/>
        </w:rPr>
        <w:t>Cuando se requiera apoyo de algún funcionario adicional, se notificará por correo electrónico.</w:t>
      </w:r>
    </w:p>
    <w:p w14:paraId="5F96D218">
      <w:pPr>
        <w:jc w:val="both"/>
        <w:rPr>
          <w:lang w:val="es-ES" w:eastAsia="es-ES" w:bidi="en-US"/>
        </w:rPr>
      </w:pPr>
      <w:r>
        <w:rPr>
          <w:lang w:val="es-ES" w:eastAsia="es-ES" w:bidi="en-US"/>
        </w:rPr>
        <w:t>En la gestión de cobro, dependiendo del canal autorizado por el deudor y/o codeudor, podrán utilizarse herramientas fundamentales como: Avisos de Vencimiento, Llamada telefónica, envío de Carta de cobro, visita personal. De todas y cada una de estas acciones, se deberá dejar las respectivas evidencias.</w:t>
      </w:r>
    </w:p>
    <w:p w14:paraId="5B3BAD7F">
      <w:pPr>
        <w:pStyle w:val="4"/>
      </w:pPr>
      <w:bookmarkStart w:id="228" w:name="_Toc182642873"/>
      <w:r>
        <w:t xml:space="preserve">12.2.1 </w:t>
      </w:r>
      <w:bookmarkStart w:id="229" w:name="_Toc467011060"/>
      <w:bookmarkStart w:id="230" w:name="_Toc271788958"/>
      <w:bookmarkStart w:id="231" w:name="_Toc31273646"/>
      <w:bookmarkStart w:id="232" w:name="_Toc151443676"/>
      <w:r>
        <w:t>Avisos De Vencimiento</w:t>
      </w:r>
      <w:bookmarkEnd w:id="228"/>
      <w:bookmarkEnd w:id="229"/>
      <w:bookmarkEnd w:id="230"/>
      <w:bookmarkEnd w:id="231"/>
      <w:bookmarkEnd w:id="232"/>
    </w:p>
    <w:p w14:paraId="7EA67CD2">
      <w:pPr>
        <w:jc w:val="both"/>
        <w:rPr>
          <w:lang w:val="es-MX" w:eastAsia="es-CO"/>
        </w:rPr>
      </w:pPr>
      <w:r>
        <w:rPr>
          <w:lang w:val="es-MX" w:eastAsia="es-CO"/>
        </w:rPr>
        <w:t>Esta herramienta consiste en anunciar al Asociado el vencimiento de la obligación con máximo 10 días de anticipación por el medio autorizado por el deudor.</w:t>
      </w:r>
    </w:p>
    <w:p w14:paraId="707AC590">
      <w:pPr>
        <w:pStyle w:val="4"/>
      </w:pPr>
      <w:bookmarkStart w:id="233" w:name="_Toc182642874"/>
      <w:r>
        <w:t>12.2.2 Llamada Telefónica</w:t>
      </w:r>
      <w:bookmarkEnd w:id="233"/>
    </w:p>
    <w:p w14:paraId="02DAB93A">
      <w:pPr>
        <w:jc w:val="both"/>
        <w:rPr>
          <w:lang w:val="es-MX" w:eastAsia="es-CO"/>
        </w:rPr>
      </w:pPr>
      <w:r>
        <w:rPr>
          <w:lang w:val="es-MX" w:eastAsia="es-CO"/>
        </w:rPr>
        <w:t>Si este es el medio autorizado, la gestión de cobro a través de llamada telefónica se realizará a partir del día siguiente de vencido a deudores y codeudores si es necesario.</w:t>
      </w:r>
    </w:p>
    <w:p w14:paraId="7AD55B20">
      <w:pPr>
        <w:pStyle w:val="4"/>
      </w:pPr>
      <w:bookmarkStart w:id="234" w:name="_Toc182642875"/>
      <w:r>
        <w:t>12.2.3 Mensaje de texto, Correo Electrónico y/o WhatsApp</w:t>
      </w:r>
      <w:bookmarkEnd w:id="234"/>
    </w:p>
    <w:p w14:paraId="217D7462">
      <w:pPr>
        <w:jc w:val="both"/>
        <w:rPr>
          <w:lang w:val="es-MX" w:eastAsia="es-CO"/>
        </w:rPr>
      </w:pPr>
      <w:r>
        <w:rPr>
          <w:lang w:val="es-MX" w:eastAsia="es-CO"/>
        </w:rPr>
        <w:t>Si este es el medio autorizado, la gestión de cobro a través de mensaje de texto, correo electrónico y/o WhatsApp se realizará a partir del día siguiente de vencido a deudores y a codeudores si es necesario.</w:t>
      </w:r>
    </w:p>
    <w:p w14:paraId="6FE82496">
      <w:pPr>
        <w:pStyle w:val="4"/>
      </w:pPr>
      <w:bookmarkStart w:id="235" w:name="_Toc182642876"/>
      <w:r>
        <w:t>12.2.4 Visita Personal</w:t>
      </w:r>
      <w:bookmarkEnd w:id="235"/>
    </w:p>
    <w:p w14:paraId="17AE1573">
      <w:pPr>
        <w:jc w:val="both"/>
        <w:rPr>
          <w:lang w:val="es-MX" w:eastAsia="es-CO"/>
        </w:rPr>
      </w:pPr>
      <w:r>
        <w:rPr>
          <w:lang w:val="es-MX" w:eastAsia="es-CO"/>
        </w:rPr>
        <w:t>Las visitas personales son asignadas por la Gerencia y podrán ser realizada por los asesores comerciales y el auxiliar administrativo de crédito y cartera.</w:t>
      </w:r>
    </w:p>
    <w:p w14:paraId="0C79A5D6">
      <w:pPr>
        <w:jc w:val="both"/>
        <w:rPr>
          <w:lang w:val="es-MX" w:eastAsia="es-CO"/>
        </w:rPr>
      </w:pPr>
      <w:r>
        <w:rPr>
          <w:lang w:val="es-MX" w:eastAsia="es-CO"/>
        </w:rPr>
        <w:t>Si no hay respuesta a los medios de cobranza antes citados, ni a los compromisos adquiridos por parte de los deudores o codeudores se optara por hacer la visita.</w:t>
      </w:r>
    </w:p>
    <w:p w14:paraId="43A6450D">
      <w:pPr>
        <w:jc w:val="both"/>
        <w:rPr>
          <w:lang w:val="es-MX" w:eastAsia="es-CO"/>
        </w:rPr>
      </w:pPr>
      <w:r>
        <w:rPr>
          <w:lang w:val="es-MX" w:eastAsia="es-CO"/>
        </w:rPr>
        <w:t xml:space="preserve">Para un efectivo control del cumplimiento en el cronograma de visitas se debe diligenciar el formato </w:t>
      </w:r>
      <w:r>
        <w:rPr>
          <w:highlight w:val="yellow"/>
          <w:lang w:val="es-MX" w:eastAsia="es-CO"/>
        </w:rPr>
        <w:t>XXXX</w:t>
      </w:r>
      <w:r>
        <w:rPr>
          <w:lang w:val="es-MX" w:eastAsia="es-CO"/>
        </w:rPr>
        <w:t xml:space="preserve"> que refleja aspectos sobre el Asociado, fecha de visita, compromisos adquiridos por el Asociado y fechas para el cumplimiento de los mismos.</w:t>
      </w:r>
    </w:p>
    <w:p w14:paraId="582CEE98">
      <w:pPr>
        <w:pStyle w:val="4"/>
      </w:pPr>
      <w:bookmarkStart w:id="236" w:name="_Toc182642877"/>
      <w:r>
        <w:t>12.2.5 Cobro Prejurídico</w:t>
      </w:r>
      <w:bookmarkEnd w:id="236"/>
    </w:p>
    <w:p w14:paraId="680C2024">
      <w:pPr>
        <w:jc w:val="both"/>
        <w:rPr>
          <w:lang w:val="es-MX" w:eastAsia="es-CO"/>
        </w:rPr>
      </w:pPr>
      <w:r>
        <w:rPr>
          <w:lang w:val="es-MX" w:eastAsia="es-CO"/>
        </w:rPr>
        <w:t>Una vez realizada la gestión de cobro normal, y cumplidos los 60 días de mora se requiere que el auxiliar administrativo de crédito y cartera y la Gerencia, tomen la decisión de enviar por escrito el cobro Prejurídico a deudores y codeudores de acuerdo al formato preestablecido por el Abogado adscrito a COOPCALLEJONA previa coordinación con los mismos.</w:t>
      </w:r>
    </w:p>
    <w:p w14:paraId="4BBE606D">
      <w:pPr>
        <w:jc w:val="both"/>
        <w:rPr>
          <w:lang w:val="es-MX" w:eastAsia="es-CO"/>
        </w:rPr>
      </w:pPr>
      <w:r>
        <w:rPr>
          <w:lang w:val="es-MX" w:eastAsia="es-CO"/>
        </w:rPr>
        <w:t>Esto se considerará como una medida previa al envío de la obligación a cobro jurídico, teniendo en cuenta que se ejerce una mayor presión de cobro en los directamente involucrados.</w:t>
      </w:r>
    </w:p>
    <w:p w14:paraId="5584619D">
      <w:pPr>
        <w:pStyle w:val="4"/>
      </w:pPr>
      <w:bookmarkStart w:id="237" w:name="_Toc182642878"/>
      <w:r>
        <w:t>12.2.6 Utilización De Herramientas Jurídicas</w:t>
      </w:r>
      <w:bookmarkEnd w:id="237"/>
    </w:p>
    <w:p w14:paraId="26248C62">
      <w:pPr>
        <w:rPr>
          <w:lang w:val="es-MX" w:eastAsia="es-CO"/>
        </w:rPr>
      </w:pPr>
    </w:p>
    <w:p w14:paraId="74F17B99">
      <w:pPr>
        <w:pStyle w:val="5"/>
        <w:numPr>
          <w:ilvl w:val="0"/>
          <w:numId w:val="0"/>
        </w:numPr>
        <w:ind w:left="110"/>
      </w:pPr>
      <w:bookmarkStart w:id="238" w:name="_Toc467011065"/>
      <w:r>
        <w:t>12.2.6.1 Artículo 142 de la Ley 79 de 1.988</w:t>
      </w:r>
      <w:bookmarkEnd w:id="238"/>
    </w:p>
    <w:p w14:paraId="24985BFB">
      <w:pPr>
        <w:jc w:val="both"/>
        <w:rPr>
          <w:i/>
          <w:iCs/>
          <w:u w:val="single"/>
          <w:lang w:val="es-MX"/>
        </w:rPr>
      </w:pPr>
      <w:r>
        <w:rPr>
          <w:i/>
          <w:iCs/>
          <w:u w:val="single"/>
          <w:lang w:val="es-MX"/>
        </w:rPr>
        <w:t>“Artículo 142.-Toda persona, empresa o entidad pública o privada estará obligada a deducir y retener de cualquier cantidad que haya de pagar a sus trabajadores o pensionados, las sumas que estos adecuen a la cooperativa, y que la obligación conste en libranza, títulos valores, o cualquier otro documento suscrito por el deudor, quien para el efecto deberá dar su consentimiento previo.</w:t>
      </w:r>
    </w:p>
    <w:p w14:paraId="040D63B6">
      <w:pPr>
        <w:jc w:val="both"/>
        <w:rPr>
          <w:i/>
          <w:iCs/>
          <w:u w:val="single"/>
          <w:lang w:val="es-MX"/>
        </w:rPr>
      </w:pPr>
      <w:r>
        <w:rPr>
          <w:i/>
          <w:iCs/>
          <w:u w:val="single"/>
          <w:lang w:val="es-MX"/>
        </w:rPr>
        <w:t>Las personas, empresas o entidades obligadas a retener deben entregar las sumas retenidas a la cooperativa, simultáneamente con el pago que hace al trabajador o pensionado. Si por su culpa no lo hicieren, serán responsables ante la cooperativa de su omisión y quedarán solidariamente deudoras ante esta de las sumas dejadas de retener o entregar, junto con los intereses de la obligación contraída por el deudor.</w:t>
      </w:r>
    </w:p>
    <w:p w14:paraId="10B6E116">
      <w:pPr>
        <w:jc w:val="both"/>
        <w:rPr>
          <w:lang w:val="es-MX"/>
        </w:rPr>
      </w:pPr>
      <w:r>
        <w:rPr>
          <w:lang w:val="es-MX"/>
        </w:rPr>
        <w:t>En este orden de ideas, cabe señalar que el código sustantivo del trabajo indica en su artículo 149 y 150 los descuentos legales y permitidos por la ley que</w:t>
      </w:r>
    </w:p>
    <w:p w14:paraId="52E5C3A9">
      <w:pPr>
        <w:jc w:val="both"/>
        <w:rPr>
          <w:i/>
          <w:iCs/>
          <w:u w:val="single"/>
          <w:lang w:val="es-MX"/>
        </w:rPr>
      </w:pPr>
      <w:r>
        <w:rPr>
          <w:i/>
          <w:iCs/>
          <w:u w:val="single"/>
          <w:lang w:val="es-MX"/>
        </w:rPr>
        <w:t xml:space="preserve">“ARTICULO 149. DESCUENTOS PROHIBIDOS. </w:t>
      </w:r>
    </w:p>
    <w:p w14:paraId="5849D498">
      <w:pPr>
        <w:jc w:val="both"/>
        <w:rPr>
          <w:i/>
          <w:iCs/>
          <w:u w:val="single"/>
          <w:lang w:val="es-MX"/>
        </w:rPr>
      </w:pPr>
      <w:r>
        <w:rPr>
          <w:i/>
          <w:iCs/>
          <w:u w:val="single"/>
          <w:lang w:val="es-MX"/>
        </w:rPr>
        <w:t>1.</w:t>
      </w:r>
      <w:r>
        <w:rPr>
          <w:i/>
          <w:iCs/>
          <w:u w:val="single"/>
          <w:lang w:val="es-MX"/>
        </w:rPr>
        <w:tab/>
      </w:r>
      <w:r>
        <w:rPr>
          <w:i/>
          <w:iCs/>
          <w:u w:val="single"/>
          <w:lang w:val="es-MX"/>
        </w:rPr>
        <w:t>El empleador no puede deducir, retener o compensar suma alguna del salario, sin orden suscrita por el trabajador, para cada caso, o sin mandamiento judicial. Quedan especialmente comprendidos en esta prohibición los descuentos o compensaciones por concepto de uso o arrendamiento de locales, herramientas o útiles de trabajo; deudas del trabajador para con el empleador, sus socios, sus parientes o sus representantes; indemnización por daños ocasionados a los locales, máquinas, materias primas o productos elaborados o pérdidas o averías de elementos de trabajo; entrega de mercancías, provisión de alimentos y precio de alojamiento.</w:t>
      </w:r>
    </w:p>
    <w:p w14:paraId="236DBD69">
      <w:pPr>
        <w:jc w:val="both"/>
        <w:rPr>
          <w:i/>
          <w:iCs/>
          <w:u w:val="single"/>
          <w:lang w:val="es-MX"/>
        </w:rPr>
      </w:pPr>
      <w:r>
        <w:rPr>
          <w:i/>
          <w:iCs/>
          <w:u w:val="single"/>
          <w:lang w:val="es-MX"/>
        </w:rPr>
        <w:t>2. Tampoco se puede efectuar la retención o deducción sin mandamiento judicial, aunque exista orden escrita del trabajador, cuando quiera que se afecte el salario mínimo legal o convencional o la parte del salario declarada inembargable por la ley.</w:t>
      </w:r>
    </w:p>
    <w:p w14:paraId="44083817">
      <w:pPr>
        <w:jc w:val="both"/>
        <w:rPr>
          <w:i/>
          <w:iCs/>
          <w:u w:val="single"/>
          <w:lang w:val="es-MX"/>
        </w:rPr>
      </w:pPr>
      <w:r>
        <w:rPr>
          <w:i/>
          <w:iCs/>
          <w:u w:val="single"/>
          <w:lang w:val="es-MX"/>
        </w:rPr>
        <w:t>3. Los empleadores quedarán obligados a efectuar oportunamente los descuentos autorizados por sus trabajadores que se ajusten a la ley. El empleador que incumpla lo anterior, será responsable de los perjuicios que dicho incumplimiento le ocasione al trabajador o al beneficiario del descuento.</w:t>
      </w:r>
    </w:p>
    <w:p w14:paraId="0A5CA71F">
      <w:pPr>
        <w:jc w:val="both"/>
        <w:rPr>
          <w:i/>
          <w:iCs/>
          <w:u w:val="single"/>
          <w:lang w:val="es-MX"/>
        </w:rPr>
      </w:pPr>
      <w:r>
        <w:rPr>
          <w:i/>
          <w:iCs/>
          <w:u w:val="single"/>
          <w:lang w:val="es-MX"/>
        </w:rPr>
        <w:t xml:space="preserve">ARTICULO 150. DESCUENTOS PERMITIDOS. Son permitidos los descuentos y retenciones por conceptos de cuotas sindicales y de cooperativas y cajas de ahorro, autorizadas en forma legal; de cuotas con destino al seguro social obligatorio, y de sanciones disciplinarias impuestas de conformidad con el reglamento del trabajo debidamente aprobado.” </w:t>
      </w:r>
    </w:p>
    <w:p w14:paraId="1F83FECB">
      <w:pPr>
        <w:jc w:val="both"/>
        <w:rPr>
          <w:lang w:val="es-MX"/>
        </w:rPr>
      </w:pPr>
      <w:r>
        <w:rPr>
          <w:lang w:val="es-MX"/>
        </w:rPr>
        <w:t>Por lo tanto, cabe señalar que debe existir una obligación, clara, expresa y exigible para poder llevar a cabo dichos descuentos</w:t>
      </w:r>
    </w:p>
    <w:p w14:paraId="1819B87D">
      <w:pPr>
        <w:jc w:val="both"/>
        <w:rPr>
          <w:lang w:val="es-MX"/>
        </w:rPr>
      </w:pPr>
      <w:r>
        <w:rPr>
          <w:lang w:val="es-MX"/>
        </w:rPr>
        <w:t>Cuando en una obligación morosa de un asociado dependiente, no medie la libranza para su pago, de acuerdo a las leyes vigentes, se puede solicitar a cualquier persona de la cual dependa el trabajador, sea natural o jurídica del sector privado o público que le deduzcan y le retengan hasta el 50% de los pagos (respetando el mínimo legal) que tenga que hacer a sus dependientes, sin importar el concepto, para cubrir los montos que adeudan a las cooperativas.</w:t>
      </w:r>
    </w:p>
    <w:p w14:paraId="2DC748E9">
      <w:pPr>
        <w:jc w:val="both"/>
        <w:rPr>
          <w:lang w:val="es-MX"/>
        </w:rPr>
      </w:pPr>
      <w:r>
        <w:rPr>
          <w:lang w:val="es-MX"/>
        </w:rPr>
        <w:t>Pero antes de iniciar este trámite el auxiliar administrativo de crédito cartera y la Gerencia deben agotar todos los pasos pertenecientes a la gestión normal de cobro, tanto al deudor principal como a los codeudores.</w:t>
      </w:r>
    </w:p>
    <w:p w14:paraId="5144E0A5">
      <w:pPr>
        <w:jc w:val="both"/>
        <w:rPr>
          <w:lang w:val="es-MX"/>
        </w:rPr>
      </w:pPr>
      <w:r>
        <w:rPr>
          <w:lang w:val="es-MX"/>
        </w:rPr>
        <w:t xml:space="preserve">En los casos de aquellas obligaciones cuyo deudor y/o codeudores sean empleados, antes de pasarlas a cobro judicial se deberá gestionar la retención de salarios </w:t>
      </w:r>
    </w:p>
    <w:p w14:paraId="54986B82">
      <w:pPr>
        <w:jc w:val="both"/>
        <w:rPr>
          <w:lang w:val="es-MX"/>
        </w:rPr>
      </w:pPr>
      <w:r>
        <w:rPr>
          <w:lang w:val="es-MX"/>
        </w:rPr>
        <w:t>Los documentos requeridos para seguir el proceso de retención de salarios son a saber los siguientes:</w:t>
      </w:r>
    </w:p>
    <w:p w14:paraId="766139FB">
      <w:pPr>
        <w:jc w:val="both"/>
        <w:rPr>
          <w:lang w:val="es-MX"/>
        </w:rPr>
      </w:pPr>
      <w:r>
        <w:rPr>
          <w:lang w:val="es-MX"/>
        </w:rPr>
        <w:t xml:space="preserve">a. Carta Solicitud de Embargo de Salario firmada por la Gerencia </w:t>
      </w:r>
    </w:p>
    <w:p w14:paraId="4100A8A9">
      <w:pPr>
        <w:jc w:val="both"/>
        <w:rPr>
          <w:lang w:val="es-MX"/>
        </w:rPr>
      </w:pPr>
      <w:r>
        <w:rPr>
          <w:lang w:val="es-MX"/>
        </w:rPr>
        <w:t>b. Fotocopia del Pagare</w:t>
      </w:r>
    </w:p>
    <w:p w14:paraId="507C11A0">
      <w:pPr>
        <w:jc w:val="both"/>
        <w:rPr>
          <w:lang w:val="es-MX"/>
        </w:rPr>
      </w:pPr>
      <w:r>
        <w:rPr>
          <w:lang w:val="es-MX"/>
        </w:rPr>
        <w:t>Esta documentación deberá ser presentada al Gerente General, quien firmará la solicitud y autorizará la solicitud que se formula al tesorero o pagador de la empresa donde labora el deudor para que deduzca y retenga los salarios u otros pagos al trabajador asociado. Se radicará personalmente en la tesorería correspondiente.</w:t>
      </w:r>
    </w:p>
    <w:p w14:paraId="7E7CD4D4">
      <w:pPr>
        <w:jc w:val="both"/>
        <w:rPr>
          <w:lang w:val="es-MX"/>
        </w:rPr>
      </w:pPr>
      <w:r>
        <w:rPr>
          <w:lang w:val="es-MX"/>
        </w:rPr>
        <w:t>En el evento de no contar con margen para deducir, COOPCALLEJONA podrá alegar el derecho al turno. Para que por cualquier tipo de pago que deba hacerle (el tesorero) al asociado se efectúe la correspondiente deducción y retención.</w:t>
      </w:r>
    </w:p>
    <w:p w14:paraId="15FDB72A">
      <w:pPr>
        <w:jc w:val="both"/>
        <w:rPr>
          <w:lang w:val="es-MX"/>
        </w:rPr>
      </w:pPr>
      <w:r>
        <w:rPr>
          <w:lang w:val="es-MX"/>
        </w:rPr>
        <w:t>De todas formas, el auxiliar administrativo de crédito y cartera y la Gerencia, deben mantener comunicación telefónica, escrita o personal con los pagadores, con el fin de hacer efectivo el cobro y procurar ser exactos en el valor de las sumas que deben deducir, retener y girar a los tesoreros de COOPCALLEJONA, según lo exprese la solicitud correspondiente.</w:t>
      </w:r>
    </w:p>
    <w:p w14:paraId="41687A55">
      <w:pPr>
        <w:jc w:val="both"/>
        <w:rPr>
          <w:lang w:val="es-MX"/>
        </w:rPr>
      </w:pPr>
      <w:r>
        <w:rPr>
          <w:lang w:val="es-MX"/>
        </w:rPr>
        <w:t>Si por algún motivo no se lograre por parte de los tesoreros, el descuento respectivo, será remitido el pagaré a cobro jurídico.</w:t>
      </w:r>
    </w:p>
    <w:p w14:paraId="78FFDF60">
      <w:pPr>
        <w:jc w:val="both"/>
        <w:rPr>
          <w:lang w:val="es-MX"/>
        </w:rPr>
      </w:pPr>
      <w:r>
        <w:rPr>
          <w:lang w:val="es-MX"/>
        </w:rPr>
        <w:t>Esta medida puede suspenderse cuando el crédito quede al día con antelación a previo análisis del asociado.</w:t>
      </w:r>
    </w:p>
    <w:p w14:paraId="59148A5D">
      <w:pPr>
        <w:pStyle w:val="5"/>
        <w:numPr>
          <w:ilvl w:val="0"/>
          <w:numId w:val="0"/>
        </w:numPr>
        <w:ind w:left="110"/>
      </w:pPr>
      <w:r>
        <w:t>12.2.6.2 Cobro Judicial</w:t>
      </w:r>
    </w:p>
    <w:p w14:paraId="4B6364BE">
      <w:pPr>
        <w:jc w:val="both"/>
        <w:rPr>
          <w:lang w:val="es-MX"/>
        </w:rPr>
      </w:pPr>
      <w:r>
        <w:rPr>
          <w:lang w:val="es-MX"/>
        </w:rPr>
        <w:t>Una vez realizada la gestión de cobro, y cumplidos los 90 días de mora se requiere la actualización de la documentación con el propósito de tomar decisión acertada sobre las medidas previas que se solicitarán en el proceso judicial.</w:t>
      </w:r>
    </w:p>
    <w:p w14:paraId="4BC9A078">
      <w:pPr>
        <w:jc w:val="both"/>
        <w:rPr>
          <w:lang w:val="es-MX"/>
        </w:rPr>
      </w:pPr>
      <w:r>
        <w:rPr>
          <w:lang w:val="es-MX"/>
        </w:rPr>
        <w:t>Será responsabilidad del auxiliar administrativo de crédito y cartera el envío a cobro jurídico de las obligaciones que superen los 90 días de mora. Sin embargo, en aquellos casos en los que exista compromiso para pagos por parte del asociado, este término se podrá ampliar hasta los 120 días de mora. Así mismo, el auxiliar administrativo de crédito y cartera podrá gestionar el envío a cobro las obligaciones que no cumplan con los días de morosidad mencionados, cuando se observe algún riesgo de no recuperación de la obligación.</w:t>
      </w:r>
    </w:p>
    <w:p w14:paraId="48379426">
      <w:pPr>
        <w:jc w:val="both"/>
        <w:rPr>
          <w:lang w:val="es-MX"/>
        </w:rPr>
      </w:pPr>
      <w:r>
        <w:rPr>
          <w:lang w:val="es-MX"/>
        </w:rPr>
        <w:t>El jurídico dispondrá hasta de 10 días para iniciar el proceso jurídico, de lo contrario deberán presentar información escrita a la gerencia y al consejo de administración el por qué no se llevó a cabo dicho proceso.</w:t>
      </w:r>
    </w:p>
    <w:p w14:paraId="57B65245">
      <w:pPr>
        <w:jc w:val="both"/>
        <w:rPr>
          <w:lang w:val="es-MX"/>
        </w:rPr>
      </w:pPr>
      <w:r>
        <w:rPr>
          <w:lang w:val="es-MX"/>
        </w:rPr>
        <w:t>Al abogado debe entregarse la documentación actualizada y necesaria para que inicie el proceso ejecutivo, así mismo deberá indicarse expresamente las medidas previas que se requieren aplicar para agilizar el proceso y posteriormente revisar si las mismas corresponden a las solicitadas por COOPCALLEJONA, para evitar pérdida de tiempo y exposición al riesgo.</w:t>
      </w:r>
    </w:p>
    <w:p w14:paraId="087F070C">
      <w:pPr>
        <w:jc w:val="both"/>
        <w:rPr>
          <w:lang w:val="es-MX"/>
        </w:rPr>
      </w:pPr>
      <w:r>
        <w:rPr>
          <w:lang w:val="es-MX"/>
        </w:rPr>
        <w:t>Al momento de remitir al cobro una obligación en la cual los obligados sean empleados, deberá solicitarse al abogado el cabal cumplimiento de lo estipulado en el artículo 59 del Código Sustantivo del Trabajo, las entidades Cooperativas pueden ordenar retenciones hasta por un 50% de salarios y prestaciones.</w:t>
      </w:r>
    </w:p>
    <w:p w14:paraId="0C3E1301">
      <w:pPr>
        <w:jc w:val="both"/>
        <w:rPr>
          <w:lang w:val="es-MX"/>
        </w:rPr>
      </w:pPr>
      <w:r>
        <w:rPr>
          <w:lang w:val="es-MX"/>
        </w:rPr>
        <w:t>El abogado está obligado a entregar copia de la admisión de la demanda y de las medidas solicitadas.</w:t>
      </w:r>
    </w:p>
    <w:p w14:paraId="06628864">
      <w:pPr>
        <w:jc w:val="both"/>
        <w:rPr>
          <w:lang w:val="es-MX"/>
        </w:rPr>
      </w:pPr>
      <w:r>
        <w:rPr>
          <w:lang w:val="es-MX"/>
        </w:rPr>
        <w:t>Una vez se envían los documentos a cobro judicial, se hace necesario registrar la respectiva marca en el sistema, para efectos de tener presente que esta obligación ya se encuentra en dicho trámite.</w:t>
      </w:r>
    </w:p>
    <w:p w14:paraId="7AB827C9">
      <w:pPr>
        <w:rPr>
          <w:lang w:val="es-MX"/>
        </w:rPr>
      </w:pPr>
    </w:p>
    <w:p w14:paraId="46DFADD4">
      <w:pPr>
        <w:pStyle w:val="4"/>
      </w:pPr>
      <w:bookmarkStart w:id="239" w:name="_Toc182642879"/>
      <w:r>
        <w:t>12.2.7 Presentación de informes de abogado</w:t>
      </w:r>
      <w:bookmarkEnd w:id="239"/>
    </w:p>
    <w:p w14:paraId="7F12DBC0">
      <w:pPr>
        <w:jc w:val="both"/>
        <w:rPr>
          <w:lang w:val="es-MX" w:eastAsia="es-CO"/>
        </w:rPr>
      </w:pPr>
      <w:r>
        <w:rPr>
          <w:lang w:val="es-MX" w:eastAsia="es-CO"/>
        </w:rPr>
        <w:t>Los abogados deberán presentar informes detallados de cada uno de los procesos cada vez que se les requiera, lo anterior en el medio o herramienta dispuesta por la Cooperativa para tal fin.</w:t>
      </w:r>
    </w:p>
    <w:p w14:paraId="06A8BDD8">
      <w:pPr>
        <w:pStyle w:val="4"/>
      </w:pPr>
      <w:bookmarkStart w:id="240" w:name="_Toc182642880"/>
      <w:r>
        <w:t>12.2.8 Recomendaciones especiales de procedimiento</w:t>
      </w:r>
      <w:bookmarkEnd w:id="240"/>
    </w:p>
    <w:p w14:paraId="3039B64D">
      <w:pPr>
        <w:jc w:val="both"/>
        <w:rPr>
          <w:lang w:val="es-MX" w:eastAsia="es-CO"/>
        </w:rPr>
      </w:pPr>
      <w:r>
        <w:rPr>
          <w:lang w:val="es-MX" w:eastAsia="es-CO"/>
        </w:rPr>
        <w:t>El auxiliar administrativo de crédito y cartera deberá verificar que el abogado instaure las demandas respectivas, dentro de los diez (10) días siguientes a la fecha en la cual se entregue la documentación, solicitando copia de la demanda debidamente radicada en el juzgado.  Esta copia deberá reposar en el fólder del Asociado.</w:t>
      </w:r>
    </w:p>
    <w:p w14:paraId="31137B38">
      <w:pPr>
        <w:jc w:val="both"/>
        <w:rPr>
          <w:lang w:val="es-MX" w:eastAsia="es-CO"/>
        </w:rPr>
      </w:pPr>
      <w:r>
        <w:rPr>
          <w:lang w:val="es-MX" w:eastAsia="es-CO"/>
        </w:rPr>
        <w:t>El auxiliar administrativo de crédito y cartera realizara el procedimiento para el registro de los documentos que haga entrega el abogado de las medidas previas que haya a lugar copia de esto reposara en el folder del asociado.</w:t>
      </w:r>
    </w:p>
    <w:p w14:paraId="536AE59D">
      <w:pPr>
        <w:jc w:val="both"/>
        <w:rPr>
          <w:lang w:val="es-MX" w:eastAsia="es-CO"/>
        </w:rPr>
      </w:pPr>
      <w:r>
        <w:rPr>
          <w:lang w:val="es-MX" w:eastAsia="es-CO"/>
        </w:rPr>
        <w:t xml:space="preserve">Las novedades por abonos y cancelaciones sobre obligaciones en cobro judicial deben comunicarse por escrito al abogado inmediatamente se produzcan los pagos. </w:t>
      </w:r>
    </w:p>
    <w:p w14:paraId="46F7A2CF">
      <w:pPr>
        <w:jc w:val="both"/>
        <w:rPr>
          <w:lang w:val="es-MX" w:eastAsia="es-CO"/>
        </w:rPr>
      </w:pPr>
      <w:r>
        <w:rPr>
          <w:lang w:val="es-MX" w:eastAsia="es-CO"/>
        </w:rPr>
        <w:t>El auxiliar administrativo de crédito y cartera deberá investigar qué otras acciones judiciales se pueden adelantar sobre salarios, bienes inmuebles, muebles, vehículos, etc., de los demandados, informando de tales hechos a los abogados. Cuando el auxiliar administrativo de crédito y cartera tenga conocimiento sobre algún aspecto que permita al abogado reorientar y agilizar la gestión de cobro, debe comunicárselo inmediatamente.</w:t>
      </w:r>
    </w:p>
    <w:p w14:paraId="252DB2D2">
      <w:pPr>
        <w:jc w:val="both"/>
        <w:rPr>
          <w:lang w:val="es-MX" w:eastAsia="es-CO"/>
        </w:rPr>
      </w:pPr>
      <w:r>
        <w:rPr>
          <w:lang w:val="es-MX" w:eastAsia="es-CO"/>
        </w:rPr>
        <w:t>En el momento en que se detecten actos indebidos o negligencia del abogado en el proceso de cobro judicial, el auxiliar administrativo de crédito y cartera informará por escrito a la Gerencia General, a fin de que se tomen los correctivos del caso.</w:t>
      </w:r>
    </w:p>
    <w:p w14:paraId="6531F109">
      <w:pPr>
        <w:jc w:val="both"/>
        <w:rPr>
          <w:b/>
          <w:bCs/>
          <w:u w:val="single"/>
          <w:lang w:val="es-MX" w:eastAsia="es-CO"/>
        </w:rPr>
      </w:pPr>
      <w:r>
        <w:rPr>
          <w:b/>
          <w:bCs/>
          <w:u w:val="single"/>
          <w:lang w:val="es-MX" w:eastAsia="es-CO"/>
        </w:rPr>
        <w:t>Documentos A Remitir Para El Cobro Jurídico</w:t>
      </w:r>
    </w:p>
    <w:p w14:paraId="47F8E2CD">
      <w:pPr>
        <w:jc w:val="both"/>
        <w:rPr>
          <w:lang w:val="es-MX" w:eastAsia="es-CO"/>
        </w:rPr>
      </w:pPr>
      <w:r>
        <w:rPr>
          <w:lang w:val="es-MX" w:eastAsia="es-CO"/>
        </w:rPr>
        <w:t>• Carta remisoria</w:t>
      </w:r>
    </w:p>
    <w:p w14:paraId="3221A7F8">
      <w:pPr>
        <w:jc w:val="both"/>
        <w:rPr>
          <w:lang w:val="es-MX" w:eastAsia="es-CO"/>
        </w:rPr>
      </w:pPr>
      <w:r>
        <w:rPr>
          <w:lang w:val="es-MX" w:eastAsia="es-CO"/>
        </w:rPr>
        <w:t>• Fotocopia de cedulas de deudores y codeudores</w:t>
      </w:r>
    </w:p>
    <w:p w14:paraId="5035923C">
      <w:pPr>
        <w:jc w:val="both"/>
        <w:rPr>
          <w:lang w:val="es-MX" w:eastAsia="es-CO"/>
        </w:rPr>
      </w:pPr>
      <w:r>
        <w:rPr>
          <w:lang w:val="es-MX" w:eastAsia="es-CO"/>
        </w:rPr>
        <w:t>• Declaración de vencimiento</w:t>
      </w:r>
    </w:p>
    <w:p w14:paraId="3237EA07">
      <w:pPr>
        <w:jc w:val="both"/>
        <w:rPr>
          <w:lang w:val="es-MX" w:eastAsia="es-CO"/>
        </w:rPr>
      </w:pPr>
      <w:r>
        <w:rPr>
          <w:lang w:val="es-MX" w:eastAsia="es-CO"/>
        </w:rPr>
        <w:t>• Pagare original con endoso</w:t>
      </w:r>
    </w:p>
    <w:p w14:paraId="2619ED67">
      <w:pPr>
        <w:jc w:val="both"/>
        <w:rPr>
          <w:lang w:val="es-MX" w:eastAsia="es-CO"/>
        </w:rPr>
      </w:pPr>
      <w:r>
        <w:rPr>
          <w:lang w:val="es-MX" w:eastAsia="es-CO"/>
        </w:rPr>
        <w:t>• Si se trata de hipoteca, poder firmado por gerencia o representante legal y la escritura original</w:t>
      </w:r>
    </w:p>
    <w:p w14:paraId="4BB5609C">
      <w:pPr>
        <w:jc w:val="both"/>
        <w:rPr>
          <w:lang w:val="es-MX" w:eastAsia="es-CO"/>
        </w:rPr>
      </w:pPr>
      <w:r>
        <w:rPr>
          <w:lang w:val="es-MX" w:eastAsia="es-CO"/>
        </w:rPr>
        <w:t>• Certificado cámara de comercio de la Cooperativa</w:t>
      </w:r>
    </w:p>
    <w:p w14:paraId="0848127F">
      <w:pPr>
        <w:jc w:val="both"/>
        <w:rPr>
          <w:lang w:val="es-MX" w:eastAsia="es-CO"/>
        </w:rPr>
      </w:pPr>
      <w:r>
        <w:rPr>
          <w:lang w:val="es-MX" w:eastAsia="es-CO"/>
        </w:rPr>
        <w:t xml:space="preserve">• Soporte de bienes muebles e inmuebles o en su defecto certificado o soportes de ingresos </w:t>
      </w:r>
    </w:p>
    <w:p w14:paraId="0A876134">
      <w:pPr>
        <w:jc w:val="both"/>
        <w:rPr>
          <w:lang w:val="es-MX" w:eastAsia="es-CO"/>
        </w:rPr>
      </w:pPr>
      <w:r>
        <w:rPr>
          <w:lang w:val="es-MX" w:eastAsia="es-CO"/>
        </w:rPr>
        <w:t>El auxiliar administrativo de crédito y cartera enviará los pagarés y su documentación anexa, la información suministrada a los abogados, así como la documentación anexa a los pagarés, deberá ser en lo posible actualizada. Consérvese copia o fotocopia de todos los documentos que se envíen al Abogado, en la carpeta del asociado. Así mismo archívese el oficio remisorio firmado por quien entregó y la persona que recibió o en su defecto anexe el comprobante de envío de correo o mensajería.</w:t>
      </w:r>
    </w:p>
    <w:p w14:paraId="794BF336">
      <w:pPr>
        <w:pStyle w:val="4"/>
      </w:pPr>
      <w:bookmarkStart w:id="241" w:name="_Toc182642881"/>
      <w:r>
        <w:t>12.2.9 Pos Demanda</w:t>
      </w:r>
      <w:bookmarkEnd w:id="241"/>
    </w:p>
    <w:p w14:paraId="30BA44E3">
      <w:pPr>
        <w:jc w:val="both"/>
        <w:rPr>
          <w:lang w:val="es-MX" w:eastAsia="es-CO"/>
        </w:rPr>
      </w:pPr>
      <w:r>
        <w:rPr>
          <w:lang w:val="es-MX" w:eastAsia="es-CO"/>
        </w:rPr>
        <w:t>Pese a que el crédito ha sido remitido al abogado para su respectivo cobro jurídico, el auxiliar administrativo de crédito y cartera deberá proseguir con la labor de cobro y mantener informados a los abogados sobre lo que se investigue respecto a los deudores y codeudores demandados con relación a bienes muebles, inmuebles, vehículos, etc.</w:t>
      </w:r>
    </w:p>
    <w:p w14:paraId="01FC2CEA">
      <w:pPr>
        <w:pStyle w:val="4"/>
      </w:pPr>
      <w:bookmarkStart w:id="242" w:name="_Toc182642882"/>
      <w:r>
        <w:t>12.2.10 Reporte a las centrales de riesgos</w:t>
      </w:r>
      <w:bookmarkEnd w:id="242"/>
    </w:p>
    <w:p w14:paraId="5BC3D348">
      <w:pPr>
        <w:jc w:val="both"/>
        <w:rPr>
          <w:lang w:val="es-MX" w:eastAsia="es-CO"/>
        </w:rPr>
      </w:pPr>
      <w:r>
        <w:rPr>
          <w:lang w:val="es-MX" w:eastAsia="es-CO"/>
        </w:rPr>
        <w:t>Mensualmente se reportan los Asociados con obligaciones vigentes, a las Centrales de Riesgos. El responsable de transmitir a la central de riesgos este reporte, es el auxiliar administrativo de crédito y cartera.</w:t>
      </w:r>
    </w:p>
    <w:p w14:paraId="028D53C4">
      <w:pPr>
        <w:jc w:val="both"/>
        <w:rPr>
          <w:lang w:val="es-MX" w:eastAsia="es-CO"/>
        </w:rPr>
      </w:pPr>
      <w:r>
        <w:rPr>
          <w:lang w:val="es-MX" w:eastAsia="es-CO"/>
        </w:rPr>
        <w:t>El reporte a las centrales de riesgo es un medio de presión para el saneamiento de nuestra cartera.</w:t>
      </w:r>
    </w:p>
    <w:p w14:paraId="6FCB2DDB">
      <w:pPr>
        <w:jc w:val="both"/>
        <w:rPr>
          <w:lang w:val="es-MX" w:eastAsia="es-CO"/>
        </w:rPr>
      </w:pPr>
      <w:r>
        <w:rPr>
          <w:lang w:val="es-MX" w:eastAsia="es-CO"/>
        </w:rPr>
        <w:t>El reporte a las centrales de riesgo se realiza por la calificación de riesgo del asociado.</w:t>
      </w:r>
    </w:p>
    <w:p w14:paraId="03B4ACE4">
      <w:pPr>
        <w:pStyle w:val="3"/>
      </w:pPr>
      <w:bookmarkStart w:id="243" w:name="_Toc182642883"/>
      <w:r>
        <w:t>Labor Del Auxiliar Administrativo de Crédito y Cartera</w:t>
      </w:r>
      <w:bookmarkEnd w:id="243"/>
    </w:p>
    <w:p w14:paraId="45596638">
      <w:pPr>
        <w:jc w:val="both"/>
        <w:rPr>
          <w:lang w:val="es-MX" w:eastAsia="es-CO"/>
        </w:rPr>
      </w:pPr>
      <w:r>
        <w:rPr>
          <w:lang w:val="es-MX" w:eastAsia="es-CO"/>
        </w:rPr>
        <w:t>El auxiliar administrativo de crédito y cartera deberá apoyar a la Gerencia en la labor de cobro utilizando las herramientas señaladas, labor que requiere coordinación entre las partes para evitar doble labor y diferenciar de criterios en las alternativas de solución.</w:t>
      </w:r>
    </w:p>
    <w:p w14:paraId="2495CEBC">
      <w:pPr>
        <w:jc w:val="both"/>
        <w:rPr>
          <w:lang w:val="es-MX" w:eastAsia="es-CO"/>
        </w:rPr>
      </w:pPr>
      <w:r>
        <w:rPr>
          <w:lang w:val="es-MX" w:eastAsia="es-CO"/>
        </w:rPr>
        <w:t>Es a su vez, el encargado de realizar seguimiento detallado de las obligaciones más representativas, verificación de la labor de cobro y refuerzo de la gestión realizada.</w:t>
      </w:r>
    </w:p>
    <w:p w14:paraId="457DB100">
      <w:pPr>
        <w:jc w:val="both"/>
        <w:rPr>
          <w:lang w:val="es-MX" w:eastAsia="es-CO"/>
        </w:rPr>
      </w:pPr>
      <w:r>
        <w:rPr>
          <w:lang w:val="es-MX" w:eastAsia="es-CO"/>
        </w:rPr>
        <w:t>Asesoría en la toma de decisiones en materia de reestructuraciones, daciones en pago, remates y judiciales y en general cualquier decisión que implique solución al problema.</w:t>
      </w:r>
    </w:p>
    <w:p w14:paraId="161C39D2">
      <w:pPr>
        <w:pStyle w:val="3"/>
      </w:pPr>
      <w:bookmarkStart w:id="244" w:name="_Toc182642884"/>
      <w:r>
        <w:t>Cronograma de Gestión de Cobro</w:t>
      </w:r>
      <w:bookmarkEnd w:id="244"/>
    </w:p>
    <w:p w14:paraId="727D1E93">
      <w:pPr>
        <w:jc w:val="both"/>
        <w:rPr>
          <w:lang w:val="es-MX" w:eastAsia="es-CO"/>
        </w:rPr>
      </w:pPr>
      <w:r>
        <w:rPr>
          <w:lang w:val="es-MX" w:eastAsia="es-CO"/>
        </w:rPr>
        <w:t>Para agilizar y optimizar la gestión de cobranza con la aplicación de políticas generales o particulares, se distinguen las siguientes etapas por la mora:</w:t>
      </w:r>
    </w:p>
    <w:p w14:paraId="450AE849">
      <w:pPr>
        <w:pStyle w:val="67"/>
        <w:numPr>
          <w:ilvl w:val="0"/>
          <w:numId w:val="57"/>
        </w:numPr>
        <w:jc w:val="both"/>
        <w:rPr>
          <w:lang w:val="es-MX" w:eastAsia="es-CO"/>
        </w:rPr>
      </w:pPr>
      <w:r>
        <w:rPr>
          <w:lang w:val="es-MX" w:eastAsia="es-CO"/>
        </w:rPr>
        <w:t>Cartera Sin Vencimiento - Cobranza Preventiva.</w:t>
      </w:r>
    </w:p>
    <w:p w14:paraId="4E7E253D">
      <w:pPr>
        <w:pStyle w:val="67"/>
        <w:numPr>
          <w:ilvl w:val="0"/>
          <w:numId w:val="57"/>
        </w:numPr>
        <w:jc w:val="both"/>
        <w:rPr>
          <w:lang w:val="es-MX" w:eastAsia="es-CO"/>
        </w:rPr>
      </w:pPr>
      <w:r>
        <w:rPr>
          <w:lang w:val="es-MX" w:eastAsia="es-CO"/>
        </w:rPr>
        <w:t>Cartera Vencida de 1 hasta 60 días - Cobranza Administrativa.</w:t>
      </w:r>
    </w:p>
    <w:p w14:paraId="58678481">
      <w:pPr>
        <w:pStyle w:val="67"/>
        <w:numPr>
          <w:ilvl w:val="0"/>
          <w:numId w:val="57"/>
        </w:numPr>
        <w:jc w:val="both"/>
        <w:rPr>
          <w:lang w:val="es-MX" w:eastAsia="es-CO"/>
        </w:rPr>
      </w:pPr>
      <w:r>
        <w:rPr>
          <w:lang w:val="es-MX" w:eastAsia="es-CO"/>
        </w:rPr>
        <w:t>Cartera vencida de 61 a 90 días - Cobranza Prejudicial.</w:t>
      </w:r>
    </w:p>
    <w:p w14:paraId="0A1F2DD1">
      <w:pPr>
        <w:pStyle w:val="67"/>
        <w:numPr>
          <w:ilvl w:val="0"/>
          <w:numId w:val="57"/>
        </w:numPr>
        <w:jc w:val="both"/>
        <w:rPr>
          <w:lang w:val="es-MX" w:eastAsia="es-CO"/>
        </w:rPr>
      </w:pPr>
      <w:r>
        <w:rPr>
          <w:lang w:val="es-MX" w:eastAsia="es-CO"/>
        </w:rPr>
        <w:t>Cartera vencida mayor a 90 días - Cobranza Judicial.</w:t>
      </w:r>
    </w:p>
    <w:p w14:paraId="7C94D963">
      <w:pPr>
        <w:pStyle w:val="3"/>
      </w:pPr>
      <w:bookmarkStart w:id="245" w:name="_Toc182642885"/>
      <w:r>
        <w:t>Morosidad de Créditos en Funcionarios</w:t>
      </w:r>
      <w:bookmarkEnd w:id="245"/>
    </w:p>
    <w:p w14:paraId="2EB8C2DB">
      <w:pPr>
        <w:jc w:val="both"/>
        <w:rPr>
          <w:lang w:val="es-ES" w:eastAsia="es-ES" w:bidi="en-US"/>
        </w:rPr>
      </w:pPr>
      <w:r>
        <w:rPr>
          <w:lang w:val="es-ES" w:eastAsia="es-ES" w:bidi="en-US"/>
        </w:rPr>
        <w:t>Con el propósito de ser consecuentes con nuestros postulados y salvaguardar la autoridad que nos asiste como funcionarios y contratistas de COOPCALLEJONA, reiteramos la prohibición a los funcionarios de constituirse en deudores morosos, sopena de hacerse acreedores a sanciones disciplinarias (llamado de atención con copia a la hoja de vida), por efectos de la violación al presente manual, el incumplimiento de sus obligaciones como asociado y como funcionarios, la carencia de responsabilidad, moralidad y rectitud en su comportamiento.</w:t>
      </w:r>
    </w:p>
    <w:p w14:paraId="515CDD3F">
      <w:pPr>
        <w:jc w:val="both"/>
        <w:rPr>
          <w:lang w:val="es-ES" w:eastAsia="es-ES" w:bidi="en-US"/>
        </w:rPr>
      </w:pPr>
      <w:r>
        <w:rPr>
          <w:lang w:val="es-ES" w:eastAsia="es-ES" w:bidi="en-US"/>
        </w:rPr>
        <w:t>No obstante lo anterior, todos los funcionarios y contratistas de COOPCALLEJONA tendrán derecho a hacer uso de los mecanismos de solución señalados en el presente manual en lo relacionado con prórrogas, traslado de fechas y reestructuraciones, siempre y cuando obedezcan a situaciones debidamente justificadas.  Se hace claridad de que las anteriores prerrogativas tendrán efecto legal, siempre y cuando se realicen antes del vencimiento total de la obligación.</w:t>
      </w:r>
    </w:p>
    <w:p w14:paraId="1E6592AA">
      <w:pPr>
        <w:pStyle w:val="3"/>
      </w:pPr>
      <w:bookmarkStart w:id="246" w:name="_Toc182642886"/>
      <w:r>
        <w:t>Terminación del Proceso</w:t>
      </w:r>
      <w:bookmarkEnd w:id="246"/>
    </w:p>
    <w:p w14:paraId="4E5D5F7E">
      <w:pPr>
        <w:rPr>
          <w:lang w:val="es-ES" w:eastAsia="es-ES" w:bidi="en-US"/>
        </w:rPr>
      </w:pPr>
    </w:p>
    <w:p w14:paraId="598D510E">
      <w:pPr>
        <w:pStyle w:val="4"/>
        <w:rPr>
          <w:lang w:bidi="en-US"/>
        </w:rPr>
      </w:pPr>
      <w:bookmarkStart w:id="247" w:name="_Toc182642887"/>
      <w:r>
        <w:rPr>
          <w:lang w:bidi="en-US"/>
        </w:rPr>
        <w:t>12.6.1 Remates</w:t>
      </w:r>
      <w:bookmarkEnd w:id="247"/>
    </w:p>
    <w:p w14:paraId="1211F773">
      <w:pPr>
        <w:jc w:val="both"/>
        <w:rPr>
          <w:lang w:val="es-MX" w:eastAsia="es-CO" w:bidi="en-US"/>
        </w:rPr>
      </w:pPr>
      <w:r>
        <w:rPr>
          <w:lang w:val="es-MX" w:eastAsia="es-CO" w:bidi="en-US"/>
        </w:rPr>
        <w:t>Cuando el juzgado fija fecha de remate, el abogado debe informar acerca del mismo a la Gerencia y al auxiliar administrativo de crédito y cartera y hará entrega del aviso correspondiente para su publicación.</w:t>
      </w:r>
    </w:p>
    <w:p w14:paraId="564EB471">
      <w:pPr>
        <w:jc w:val="both"/>
        <w:rPr>
          <w:lang w:val="es-MX" w:eastAsia="es-CO" w:bidi="en-US"/>
        </w:rPr>
      </w:pPr>
      <w:r>
        <w:rPr>
          <w:lang w:val="es-MX" w:eastAsia="es-CO" w:bidi="en-US"/>
        </w:rPr>
        <w:t>Previamente al abogado instruirá a la Gerencia y al auxiliar administrativo de crédito y cartera las posibles situaciones jurídicas que se podrán adelantar (adjudicación o esperar proponentes) La Gerencia impartirá al abogado la actuación a adelantar dentro de la diligencia de remate.</w:t>
      </w:r>
    </w:p>
    <w:p w14:paraId="246D3FB3">
      <w:pPr>
        <w:jc w:val="both"/>
        <w:rPr>
          <w:lang w:val="es-MX" w:eastAsia="es-CO" w:bidi="en-US"/>
        </w:rPr>
      </w:pPr>
      <w:r>
        <w:rPr>
          <w:lang w:val="es-MX" w:eastAsia="es-CO" w:bidi="en-US"/>
        </w:rPr>
        <w:t>El abogado informara a la Gerencia y al auxiliar administrativo de crédito y cartera el resultado final de la diligencia de remate.</w:t>
      </w:r>
    </w:p>
    <w:p w14:paraId="0E31780B">
      <w:pPr>
        <w:jc w:val="both"/>
        <w:rPr>
          <w:lang w:val="es-MX" w:eastAsia="es-CO" w:bidi="en-US"/>
        </w:rPr>
      </w:pPr>
      <w:r>
        <w:rPr>
          <w:lang w:val="es-MX" w:eastAsia="es-CO" w:bidi="en-US"/>
        </w:rPr>
        <w:t>En el evento que COOPCALLEJONA remate el bien, el apoderado dará aviso de inmediato al auxiliar administrativo de crédito y cartera, la cual procederá a consignar a favor del juzgado la suma correspondiente al 5% del impuesto de remate y tramitará el respectivo paz y salvo notarial.</w:t>
      </w:r>
    </w:p>
    <w:p w14:paraId="1AD6F273">
      <w:pPr>
        <w:jc w:val="both"/>
        <w:rPr>
          <w:lang w:val="es-MX" w:eastAsia="es-CO" w:bidi="en-US"/>
        </w:rPr>
      </w:pPr>
      <w:r>
        <w:rPr>
          <w:lang w:val="es-MX" w:eastAsia="es-CO" w:bidi="en-US"/>
        </w:rPr>
        <w:t>Si se solicita la adjudicación del inmueble a COOPCALLEJONA el abogado deberá allegar a la entidad, las piezas procesales pertinentes para protocolizar el remate.</w:t>
      </w:r>
    </w:p>
    <w:p w14:paraId="751B5DB3">
      <w:pPr>
        <w:jc w:val="both"/>
        <w:rPr>
          <w:lang w:val="es-MX" w:eastAsia="es-CO" w:bidi="en-US"/>
        </w:rPr>
      </w:pPr>
      <w:r>
        <w:rPr>
          <w:u w:val="single"/>
          <w:lang w:val="es-MX" w:eastAsia="es-CO" w:bidi="en-US"/>
        </w:rPr>
        <w:t>Remate por un Tercero:</w:t>
      </w:r>
      <w:r>
        <w:rPr>
          <w:lang w:val="es-MX" w:eastAsia="es-CO" w:bidi="en-US"/>
        </w:rPr>
        <w:t xml:space="preserve"> Si el bien se remata por un tercero, el abogado deberá solicitar al juzgado la entrega de los títulos judiciales producto del remate.</w:t>
      </w:r>
    </w:p>
    <w:p w14:paraId="36CE671E">
      <w:pPr>
        <w:pStyle w:val="4"/>
        <w:rPr>
          <w:lang w:bidi="en-US"/>
        </w:rPr>
      </w:pPr>
      <w:bookmarkStart w:id="248" w:name="_Toc182642888"/>
      <w:r>
        <w:rPr>
          <w:lang w:bidi="en-US"/>
        </w:rPr>
        <w:t>12.6.2 Prohibiciones Especiales</w:t>
      </w:r>
      <w:bookmarkEnd w:id="248"/>
    </w:p>
    <w:p w14:paraId="705A0E94">
      <w:pPr>
        <w:jc w:val="both"/>
        <w:rPr>
          <w:b/>
          <w:bCs/>
          <w:i/>
          <w:iCs/>
          <w:u w:val="single"/>
          <w:lang w:val="es-ES" w:eastAsia="es-ES" w:bidi="en-US"/>
        </w:rPr>
      </w:pPr>
      <w:r>
        <w:rPr>
          <w:b/>
          <w:bCs/>
          <w:i/>
          <w:iCs/>
          <w:u w:val="single"/>
          <w:lang w:val="es-ES" w:eastAsia="es-ES" w:bidi="en-US"/>
        </w:rPr>
        <w:t>Suministro de información a asociados en cobro judicial</w:t>
      </w:r>
    </w:p>
    <w:p w14:paraId="49EE3D60">
      <w:pPr>
        <w:jc w:val="both"/>
        <w:rPr>
          <w:lang w:val="es-ES" w:eastAsia="es-ES" w:bidi="en-US"/>
        </w:rPr>
      </w:pPr>
      <w:r>
        <w:rPr>
          <w:lang w:val="es-ES" w:eastAsia="es-ES" w:bidi="en-US"/>
        </w:rPr>
        <w:t>Toda información requerida por el deudor o codeudor deberá ser suministrada por intermedio del abogado.</w:t>
      </w:r>
    </w:p>
    <w:p w14:paraId="6FEC7C15">
      <w:pPr>
        <w:jc w:val="both"/>
        <w:rPr>
          <w:lang w:val="es-ES" w:eastAsia="es-ES" w:bidi="en-US"/>
        </w:rPr>
      </w:pPr>
      <w:r>
        <w:rPr>
          <w:lang w:val="es-ES" w:eastAsia="es-ES" w:bidi="en-US"/>
        </w:rPr>
        <w:t>No sobra decir que cualquier información respecto a un pagaré en cobro judicial, únicamente podrá suministrarse a cualquiera de los demandados (deudor o codeudores).</w:t>
      </w:r>
    </w:p>
    <w:p w14:paraId="5E61277D">
      <w:pPr>
        <w:jc w:val="both"/>
        <w:rPr>
          <w:b/>
          <w:bCs/>
          <w:i/>
          <w:iCs/>
          <w:u w:val="single"/>
          <w:lang w:val="es-ES" w:eastAsia="es-ES" w:bidi="en-US"/>
        </w:rPr>
      </w:pPr>
      <w:r>
        <w:rPr>
          <w:b/>
          <w:bCs/>
          <w:i/>
          <w:iCs/>
          <w:u w:val="single"/>
          <w:lang w:val="es-ES" w:eastAsia="es-ES" w:bidi="en-US"/>
        </w:rPr>
        <w:t>Modificaciones o salvedades a pagarés enviados a cobro judicial</w:t>
      </w:r>
    </w:p>
    <w:p w14:paraId="5034DBF9">
      <w:pPr>
        <w:jc w:val="both"/>
        <w:rPr>
          <w:lang w:val="es-ES" w:eastAsia="es-ES" w:bidi="en-US"/>
        </w:rPr>
      </w:pPr>
      <w:r>
        <w:rPr>
          <w:lang w:val="es-ES" w:eastAsia="es-ES" w:bidi="en-US"/>
        </w:rPr>
        <w:t>Cuando un pagaré deba ser enviado a cobro judicial, auxiliar administrativo de crédito y cartera deberá realizar una revisión detallada del título valor, antes de remitirlo a la Gerencia para el respectivo endoso.</w:t>
      </w:r>
    </w:p>
    <w:p w14:paraId="16E7B913">
      <w:pPr>
        <w:jc w:val="both"/>
        <w:rPr>
          <w:lang w:val="es-ES" w:eastAsia="es-ES" w:bidi="en-US"/>
        </w:rPr>
      </w:pPr>
      <w:r>
        <w:rPr>
          <w:lang w:val="es-ES" w:eastAsia="es-ES" w:bidi="en-US"/>
        </w:rPr>
        <w:t>En caso de encontrar inconsistencias, deberá realizar las correspondientes salvedades en la parte posterior del pagaré, antes de las firmas, teniendo especial cuidado de que las salvedades que va a hacer, efectivamente correspondan al aspecto que debe ser corregido.</w:t>
      </w:r>
    </w:p>
    <w:p w14:paraId="6E67A538">
      <w:pPr>
        <w:jc w:val="both"/>
        <w:rPr>
          <w:lang w:val="es-ES" w:eastAsia="es-ES" w:bidi="en-US"/>
        </w:rPr>
      </w:pPr>
      <w:r>
        <w:rPr>
          <w:lang w:val="es-ES" w:eastAsia="es-ES" w:bidi="en-US"/>
        </w:rPr>
        <w:t>No sobra recalcar el especial cuidado que se debe tener con el manejo de estos títulos valores, por cuanto es el medio básico para la recuperación de la obligación suscrita por el asociado. La no observancia y cumplimiento de estas disposiciones acarreará sanciones personales y administrativas para el(los) funcionarios que incurran la falta.</w:t>
      </w:r>
    </w:p>
    <w:p w14:paraId="6319F72E">
      <w:pPr>
        <w:jc w:val="both"/>
        <w:rPr>
          <w:lang w:val="es-ES" w:eastAsia="es-ES" w:bidi="en-US"/>
        </w:rPr>
      </w:pPr>
    </w:p>
    <w:p w14:paraId="255C4F95">
      <w:pPr>
        <w:jc w:val="both"/>
        <w:rPr>
          <w:lang w:val="es-ES" w:eastAsia="es-ES" w:bidi="en-US"/>
        </w:rPr>
      </w:pPr>
    </w:p>
    <w:p w14:paraId="1B496938">
      <w:pPr>
        <w:jc w:val="both"/>
        <w:rPr>
          <w:lang w:val="es-ES" w:eastAsia="es-ES" w:bidi="en-US"/>
        </w:rPr>
      </w:pPr>
    </w:p>
    <w:p w14:paraId="0A53CB5C">
      <w:pPr>
        <w:jc w:val="both"/>
        <w:rPr>
          <w:lang w:val="es-ES" w:eastAsia="es-ES" w:bidi="en-US"/>
        </w:rPr>
      </w:pPr>
    </w:p>
    <w:p w14:paraId="50E82C54">
      <w:pPr>
        <w:jc w:val="both"/>
        <w:rPr>
          <w:lang w:val="es-ES" w:eastAsia="es-ES" w:bidi="en-US"/>
        </w:rPr>
      </w:pPr>
    </w:p>
    <w:p w14:paraId="7D59E9BE">
      <w:pPr>
        <w:jc w:val="both"/>
        <w:rPr>
          <w:lang w:val="es-ES" w:eastAsia="es-ES" w:bidi="en-US"/>
        </w:rPr>
      </w:pPr>
    </w:p>
    <w:p w14:paraId="45CD5C67">
      <w:pPr>
        <w:jc w:val="both"/>
        <w:rPr>
          <w:lang w:val="es-ES" w:eastAsia="es-ES" w:bidi="en-US"/>
        </w:rPr>
      </w:pPr>
    </w:p>
    <w:p w14:paraId="358D7FF6">
      <w:pPr>
        <w:jc w:val="both"/>
        <w:rPr>
          <w:lang w:val="es-ES" w:eastAsia="es-ES" w:bidi="en-US"/>
        </w:rPr>
      </w:pPr>
    </w:p>
    <w:p w14:paraId="1F978709">
      <w:pPr>
        <w:jc w:val="both"/>
        <w:rPr>
          <w:lang w:val="es-ES" w:eastAsia="es-ES" w:bidi="en-US"/>
        </w:rPr>
      </w:pPr>
    </w:p>
    <w:p w14:paraId="6AD80A3F">
      <w:pPr>
        <w:jc w:val="both"/>
        <w:rPr>
          <w:lang w:val="es-ES" w:eastAsia="es-ES" w:bidi="en-US"/>
        </w:rPr>
      </w:pPr>
    </w:p>
    <w:p w14:paraId="1D084D3F">
      <w:pPr>
        <w:jc w:val="both"/>
        <w:rPr>
          <w:lang w:val="es-ES" w:eastAsia="es-ES" w:bidi="en-US"/>
        </w:rPr>
      </w:pPr>
    </w:p>
    <w:p w14:paraId="09CC86A8">
      <w:pPr>
        <w:pStyle w:val="2"/>
      </w:pPr>
      <w:bookmarkStart w:id="249" w:name="_Toc182642889"/>
      <w:bookmarkStart w:id="250" w:name="_Toc151443694"/>
      <w:r>
        <w:t>NORMALIZACIÓN DE LA CARTERA:</w:t>
      </w:r>
      <w:bookmarkEnd w:id="249"/>
      <w:bookmarkEnd w:id="250"/>
      <w:r>
        <w:t xml:space="preserve"> </w:t>
      </w:r>
    </w:p>
    <w:p w14:paraId="604D33F5">
      <w:pPr>
        <w:pStyle w:val="3"/>
      </w:pPr>
      <w:bookmarkStart w:id="251" w:name="_Toc182642890"/>
      <w:bookmarkStart w:id="252" w:name="_Toc151443695"/>
      <w:r>
        <w:t>Estamentos para definir normalizaciones</w:t>
      </w:r>
      <w:bookmarkEnd w:id="251"/>
      <w:bookmarkEnd w:id="252"/>
    </w:p>
    <w:p w14:paraId="42505786">
      <w:pPr>
        <w:jc w:val="both"/>
        <w:rPr>
          <w:lang w:val="es-ES" w:eastAsia="es-ES" w:bidi="en-US"/>
        </w:rPr>
      </w:pPr>
      <w:r>
        <w:rPr>
          <w:lang w:val="es-ES" w:eastAsia="es-ES" w:bidi="en-US"/>
        </w:rPr>
        <w:t>Los estamentos autorizados para aplicar las diferentes herramientas de normalización son los que se encuentran definidos en el numeral 6.7.2.</w:t>
      </w:r>
    </w:p>
    <w:p w14:paraId="66CA22D0">
      <w:pPr>
        <w:jc w:val="both"/>
        <w:rPr>
          <w:lang w:val="es-ES" w:eastAsia="es-ES" w:bidi="en-US"/>
        </w:rPr>
      </w:pPr>
      <w:r>
        <w:rPr>
          <w:lang w:val="es-ES" w:eastAsia="es-ES" w:bidi="en-US"/>
        </w:rPr>
        <w:t>El interesado presenta la propuesta, el abogado da su concepto y se presenta a la instancia que da la aprobación.</w:t>
      </w:r>
    </w:p>
    <w:p w14:paraId="79FD2766">
      <w:pPr>
        <w:pStyle w:val="3"/>
      </w:pPr>
      <w:bookmarkStart w:id="253" w:name="_Toc182642891"/>
      <w:r>
        <w:t>Negociación recaudo cartera en cobro judicial</w:t>
      </w:r>
      <w:bookmarkEnd w:id="253"/>
    </w:p>
    <w:p w14:paraId="1635ABE6">
      <w:pPr>
        <w:jc w:val="both"/>
        <w:rPr>
          <w:u w:val="single"/>
          <w:lang w:val="es-ES" w:eastAsia="es-ES" w:bidi="en-US"/>
        </w:rPr>
      </w:pPr>
      <w:r>
        <w:rPr>
          <w:u w:val="single"/>
          <w:lang w:val="es-ES" w:eastAsia="es-ES" w:bidi="en-US"/>
        </w:rPr>
        <w:t>Pago Por La Modalidad De La Transacción O Acuerdo De Pago</w:t>
      </w:r>
    </w:p>
    <w:p w14:paraId="24105738">
      <w:pPr>
        <w:jc w:val="both"/>
        <w:rPr>
          <w:lang w:val="es-ES" w:eastAsia="es-ES" w:bidi="en-US"/>
        </w:rPr>
      </w:pPr>
      <w:r>
        <w:rPr>
          <w:lang w:val="es-ES" w:eastAsia="es-ES" w:bidi="en-US"/>
        </w:rPr>
        <w:t>La transacción es un contrato en que las partes terminan extrajudicialmente un litigio pendiente o precaven un litigio eventual. En este evento el proceso se termina por transacción.</w:t>
      </w:r>
    </w:p>
    <w:p w14:paraId="21EECFD2">
      <w:pPr>
        <w:jc w:val="both"/>
        <w:rPr>
          <w:lang w:val="es-ES" w:eastAsia="es-ES" w:bidi="en-US"/>
        </w:rPr>
      </w:pPr>
      <w:r>
        <w:rPr>
          <w:lang w:val="es-ES" w:eastAsia="es-ES" w:bidi="en-US"/>
        </w:rPr>
        <w:t>En cualquier estado del proceso podrá darse la figura de transacción entre el deudor y COOPCALLEJONA. El documento privado de transacción debe estar firmado y autenticado por las partes, el cual será remitido mediante escrito al abogado externo que conozca del proceso para que lo haga valer dentro del proceso en curso y así produzca todos sus efectos jurídicos y procesales.</w:t>
      </w:r>
    </w:p>
    <w:p w14:paraId="61A761E9">
      <w:pPr>
        <w:jc w:val="both"/>
        <w:rPr>
          <w:lang w:val="es-ES" w:eastAsia="es-ES" w:bidi="en-US"/>
        </w:rPr>
      </w:pPr>
      <w:r>
        <w:rPr>
          <w:lang w:val="es-ES" w:eastAsia="es-ES" w:bidi="en-US"/>
        </w:rPr>
        <w:t>Se deberá tener presente el siguiente procedimiento:</w:t>
      </w:r>
    </w:p>
    <w:p w14:paraId="6D641171">
      <w:pPr>
        <w:jc w:val="both"/>
        <w:rPr>
          <w:lang w:val="es-ES" w:eastAsia="es-ES" w:bidi="en-US"/>
        </w:rPr>
      </w:pPr>
      <w:r>
        <w:rPr>
          <w:lang w:val="es-ES" w:eastAsia="es-ES" w:bidi="en-US"/>
        </w:rPr>
        <w:t>El asociado deberá realizar una propuesta de pago por escrito a la Gerencia.</w:t>
      </w:r>
    </w:p>
    <w:p w14:paraId="32FE082C">
      <w:pPr>
        <w:jc w:val="both"/>
        <w:rPr>
          <w:lang w:val="es-ES" w:eastAsia="es-ES" w:bidi="en-US"/>
        </w:rPr>
      </w:pPr>
      <w:r>
        <w:rPr>
          <w:lang w:val="es-ES" w:eastAsia="es-ES" w:bidi="en-US"/>
        </w:rPr>
        <w:t>La Gerencia deberá presentar la propuesta realizada por el asociado al Consejo de Administración, este la analiza y define su viabilidad o inviabilidad, previa liquidación de los honorarios de abogado y costas judiciales.</w:t>
      </w:r>
    </w:p>
    <w:p w14:paraId="568C5E05">
      <w:pPr>
        <w:jc w:val="both"/>
        <w:rPr>
          <w:lang w:val="es-ES" w:eastAsia="es-ES" w:bidi="en-US"/>
        </w:rPr>
      </w:pPr>
      <w:r>
        <w:rPr>
          <w:lang w:val="es-ES" w:eastAsia="es-ES" w:bidi="en-US"/>
        </w:rPr>
        <w:t>En caso de no ser posible aceptar el acuerdo de pago propuesto, La Gerencia procederá a informar al asociado la decisión y el proceso deberá seguir sin ninguna variación.</w:t>
      </w:r>
    </w:p>
    <w:p w14:paraId="61FFBE15">
      <w:pPr>
        <w:jc w:val="both"/>
        <w:rPr>
          <w:lang w:val="es-ES" w:eastAsia="es-ES" w:bidi="en-US"/>
        </w:rPr>
      </w:pPr>
      <w:r>
        <w:rPr>
          <w:lang w:val="es-ES" w:eastAsia="es-ES" w:bidi="en-US"/>
        </w:rPr>
        <w:t>En caso de ser viable la propuesta, la Gerencia le comunica al asociado para dar cumplimiento al mismo, informando el estado de cuenta incluyendo agencias en derecho y costas procesales.</w:t>
      </w:r>
    </w:p>
    <w:p w14:paraId="2A82AD92">
      <w:pPr>
        <w:jc w:val="both"/>
        <w:rPr>
          <w:lang w:val="es-ES" w:eastAsia="es-ES" w:bidi="en-US"/>
        </w:rPr>
      </w:pPr>
      <w:r>
        <w:rPr>
          <w:lang w:val="es-ES" w:eastAsia="es-ES" w:bidi="en-US"/>
        </w:rPr>
        <w:t>Aprobada la transacción o acuerdo de pago se le informara al abogado encargado de este proceso para que presente el memorial correspondiente a lo tranzado.</w:t>
      </w:r>
    </w:p>
    <w:p w14:paraId="7114389D">
      <w:pPr>
        <w:pStyle w:val="3"/>
      </w:pPr>
      <w:bookmarkStart w:id="254" w:name="_Toc182642892"/>
      <w:r>
        <w:t>Acuerdo de Pago</w:t>
      </w:r>
      <w:bookmarkEnd w:id="254"/>
    </w:p>
    <w:p w14:paraId="29E6FD0F">
      <w:pPr>
        <w:jc w:val="both"/>
        <w:rPr>
          <w:lang w:val="es-ES" w:eastAsia="es-ES" w:bidi="en-US"/>
        </w:rPr>
      </w:pPr>
      <w:r>
        <w:rPr>
          <w:lang w:val="es-ES" w:eastAsia="es-ES" w:bidi="en-US"/>
        </w:rPr>
        <w:t>Los acuerdos de pago se podrán efectuar:</w:t>
      </w:r>
    </w:p>
    <w:p w14:paraId="1D86F64D">
      <w:pPr>
        <w:jc w:val="both"/>
        <w:rPr>
          <w:lang w:val="es-ES" w:eastAsia="es-ES" w:bidi="en-US"/>
        </w:rPr>
      </w:pPr>
      <w:r>
        <w:rPr>
          <w:lang w:val="es-ES" w:eastAsia="es-ES" w:bidi="en-US"/>
        </w:rPr>
        <w:t>1)    Sobre cartera castigada</w:t>
      </w:r>
    </w:p>
    <w:p w14:paraId="5DA3B73F">
      <w:pPr>
        <w:jc w:val="both"/>
        <w:rPr>
          <w:lang w:val="es-ES" w:eastAsia="es-ES" w:bidi="en-US"/>
        </w:rPr>
      </w:pPr>
      <w:r>
        <w:rPr>
          <w:lang w:val="es-ES" w:eastAsia="es-ES" w:bidi="en-US"/>
        </w:rPr>
        <w:t>2)    Sobre cartera en mora con el fin de dar un plazo para que el asociado se ponga al día y evitar su judicialización, estos acuerdos se podrán realizar cuando la mora sea menor a 90 días</w:t>
      </w:r>
    </w:p>
    <w:p w14:paraId="6CB9CC78">
      <w:pPr>
        <w:jc w:val="both"/>
        <w:rPr>
          <w:lang w:val="es-ES" w:eastAsia="es-ES" w:bidi="en-US"/>
        </w:rPr>
      </w:pPr>
      <w:r>
        <w:rPr>
          <w:lang w:val="es-ES" w:eastAsia="es-ES" w:bidi="en-US"/>
        </w:rPr>
        <w:t>Todos los acuerdos de pago deben ser solicitados por escrito por el asociado y la decisión debe ser igualmente informada por escrito al mismo.</w:t>
      </w:r>
    </w:p>
    <w:p w14:paraId="08FD2F27">
      <w:pPr>
        <w:jc w:val="both"/>
        <w:rPr>
          <w:lang w:val="es-ES" w:eastAsia="es-ES" w:bidi="en-US"/>
        </w:rPr>
      </w:pPr>
      <w:r>
        <w:rPr>
          <w:lang w:val="es-ES" w:eastAsia="es-ES" w:bidi="en-US"/>
        </w:rPr>
        <w:t>Los acuerdos de pago deben ser debidamente aprobados por la Gerencia antes del trámite ante la instancia pertinente.</w:t>
      </w:r>
    </w:p>
    <w:p w14:paraId="493FA38B">
      <w:pPr>
        <w:pStyle w:val="3"/>
      </w:pPr>
      <w:bookmarkStart w:id="255" w:name="_Toc182642893"/>
      <w:r>
        <w:t>Compromisos de Pago</w:t>
      </w:r>
      <w:bookmarkEnd w:id="255"/>
    </w:p>
    <w:p w14:paraId="5BB134D1">
      <w:pPr>
        <w:jc w:val="both"/>
        <w:rPr>
          <w:lang w:val="es-ES" w:eastAsia="es-ES" w:bidi="en-US"/>
        </w:rPr>
      </w:pPr>
      <w:r>
        <w:rPr>
          <w:lang w:val="es-ES" w:eastAsia="es-ES" w:bidi="en-US"/>
        </w:rPr>
        <w:t xml:space="preserve">Los compromisos de pago realizados por los asociados como resultado de la gestión de cobro se llevan en el formato </w:t>
      </w:r>
      <w:r>
        <w:rPr>
          <w:highlight w:val="yellow"/>
          <w:lang w:val="es-ES" w:eastAsia="es-ES" w:bidi="en-US"/>
        </w:rPr>
        <w:t>XXX</w:t>
      </w:r>
      <w:r>
        <w:rPr>
          <w:lang w:val="es-ES" w:eastAsia="es-ES" w:bidi="en-US"/>
        </w:rPr>
        <w:t xml:space="preserve"> y a su vez se deben registrar en el aplicativo.</w:t>
      </w:r>
    </w:p>
    <w:p w14:paraId="66F97B52">
      <w:pPr>
        <w:jc w:val="both"/>
        <w:rPr>
          <w:lang w:val="es-ES" w:eastAsia="es-ES" w:bidi="en-US"/>
        </w:rPr>
      </w:pPr>
      <w:r>
        <w:rPr>
          <w:lang w:val="es-ES" w:eastAsia="es-ES" w:bidi="en-US"/>
        </w:rPr>
        <w:t>Lo compromisos de pago que se pactan verbalmente únicamente se registran en el aplicativo.</w:t>
      </w:r>
    </w:p>
    <w:p w14:paraId="6672A2DD">
      <w:pPr>
        <w:pStyle w:val="3"/>
      </w:pPr>
      <w:bookmarkStart w:id="256" w:name="_Toc182642894"/>
      <w:r>
        <w:t>Reestructuraciones</w:t>
      </w:r>
      <w:bookmarkEnd w:id="256"/>
    </w:p>
    <w:p w14:paraId="11F45A2B">
      <w:pPr>
        <w:jc w:val="both"/>
        <w:rPr>
          <w:lang w:val="es-ES" w:eastAsia="es-ES" w:bidi="en-US"/>
        </w:rPr>
      </w:pPr>
      <w:r>
        <w:rPr>
          <w:lang w:val="es-ES" w:eastAsia="es-ES" w:bidi="en-US"/>
        </w:rPr>
        <w:t xml:space="preserve">Se entiende por reestructuración de un crédito, el mecanismo instrumentado mediante la celebración de cualquier negocio jurídico que tenga como objeto o efecto modificar cualquiera de las condiciones originalmente pactadas, con el fin de permitirle al deudor la atención adecuada de su obligación ante el real o potencial deterioro de su capacidad de pago. </w:t>
      </w:r>
    </w:p>
    <w:p w14:paraId="6633DC1D">
      <w:pPr>
        <w:jc w:val="both"/>
        <w:rPr>
          <w:lang w:val="es-ES" w:eastAsia="es-ES" w:bidi="en-US"/>
        </w:rPr>
      </w:pPr>
      <w:r>
        <w:rPr>
          <w:lang w:val="es-ES" w:eastAsia="es-ES" w:bidi="en-US"/>
        </w:rPr>
        <w:t xml:space="preserve">Adicionalmente, se consideran reestructuraciones los acuerdos celebrados en el marco de las Leyes: 550 de 1999, 617 de 2000, 1116 de 2006 y 1564 de 2012 o normas que las adicionen o sustituyan. </w:t>
      </w:r>
    </w:p>
    <w:p w14:paraId="6E904316">
      <w:pPr>
        <w:jc w:val="both"/>
        <w:rPr>
          <w:lang w:val="es-ES" w:eastAsia="es-ES" w:bidi="en-US"/>
        </w:rPr>
      </w:pPr>
      <w:r>
        <w:rPr>
          <w:lang w:val="es-ES" w:eastAsia="es-ES" w:bidi="en-US"/>
        </w:rPr>
        <w:t>No se considerarán reestructuraciones los alivios crediticios ordenados por leyes ni las novaciones que se originen en eventos distintos, a los antes descritos, aquellas previstas en el artículo 20 de la Ley 546 de 1999, ni las modificaciones realizadas con fundamento en los términos previstos en el presente capítulo.</w:t>
      </w:r>
    </w:p>
    <w:p w14:paraId="2F6A9B2E">
      <w:pPr>
        <w:jc w:val="both"/>
        <w:rPr>
          <w:lang w:val="es-ES" w:eastAsia="es-ES" w:bidi="en-US"/>
        </w:rPr>
      </w:pPr>
      <w:r>
        <w:rPr>
          <w:lang w:val="es-ES" w:eastAsia="es-ES" w:bidi="en-US"/>
        </w:rPr>
        <w:t>Antes de reestructurar un crédito deberá establecerse razonablemente que el mismo será recuperado bajo las nuevas condiciones. Por lo cual el análisis de créditos reestructurados, deberá realizarse por el analista de crédito o quien haga sus veces.</w:t>
      </w:r>
    </w:p>
    <w:p w14:paraId="27CFF4AD">
      <w:pPr>
        <w:jc w:val="both"/>
        <w:rPr>
          <w:lang w:val="es-ES" w:eastAsia="es-ES" w:bidi="en-US"/>
        </w:rPr>
      </w:pPr>
      <w:r>
        <w:rPr>
          <w:lang w:val="es-ES" w:eastAsia="es-ES" w:bidi="en-US"/>
        </w:rPr>
        <w:t>En todo caso, las reestructuraciones deben ser un recurso excepcional para regularizar el comportamiento de la cartera de créditos y no puede convertirse en una práctica generalizada ni hacer uso excesivo de periodos de gracia.</w:t>
      </w:r>
    </w:p>
    <w:p w14:paraId="6FEA56D4">
      <w:pPr>
        <w:jc w:val="both"/>
        <w:rPr>
          <w:lang w:val="es-ES" w:eastAsia="es-ES" w:bidi="en-US"/>
        </w:rPr>
      </w:pPr>
      <w:r>
        <w:rPr>
          <w:lang w:val="es-ES" w:eastAsia="es-ES" w:bidi="en-US"/>
        </w:rPr>
        <w:t xml:space="preserve">Al aprobarse una reestructuración, se deberá tener en cuenta lo siguiente: </w:t>
      </w:r>
    </w:p>
    <w:p w14:paraId="0C11F5E2">
      <w:pPr>
        <w:jc w:val="both"/>
        <w:rPr>
          <w:lang w:val="es-ES" w:eastAsia="es-ES" w:bidi="en-US"/>
        </w:rPr>
      </w:pPr>
      <w:r>
        <w:rPr>
          <w:lang w:val="es-ES" w:eastAsia="es-ES" w:bidi="en-US"/>
        </w:rPr>
        <w:t>a. Identificar y marcar en el aplicativo todos los créditos reestructurados.</w:t>
      </w:r>
    </w:p>
    <w:p w14:paraId="2812A41D">
      <w:pPr>
        <w:jc w:val="both"/>
        <w:rPr>
          <w:lang w:val="es-ES" w:eastAsia="es-ES" w:bidi="en-US"/>
        </w:rPr>
      </w:pPr>
      <w:r>
        <w:rPr>
          <w:lang w:val="es-ES" w:eastAsia="es-ES" w:bidi="en-US"/>
        </w:rPr>
        <w:t>b. Conservar el número del crédito para mantener la historia y no perder la trazabilidad.</w:t>
      </w:r>
    </w:p>
    <w:p w14:paraId="6E2EAB2C">
      <w:pPr>
        <w:jc w:val="both"/>
        <w:rPr>
          <w:lang w:val="es-ES" w:eastAsia="es-ES" w:bidi="en-US"/>
        </w:rPr>
      </w:pPr>
      <w:r>
        <w:rPr>
          <w:lang w:val="es-ES" w:eastAsia="es-ES" w:bidi="en-US"/>
        </w:rPr>
        <w:t xml:space="preserve">c. A los créditos reestructurados se les podrá mantener o deteriorar la calificación dependiendo del análisis de riesgo, de las condiciones financieras del deudor y de los flujos de caja del proyecto al momento de la reestructuración.  En ningún caso, la calificación podrá ser mejor a aquella que tenía el crédito al momento de solicitar la reestructuración. </w:t>
      </w:r>
    </w:p>
    <w:p w14:paraId="0F69B17F">
      <w:pPr>
        <w:jc w:val="both"/>
        <w:rPr>
          <w:lang w:val="es-ES" w:eastAsia="es-ES" w:bidi="en-US"/>
        </w:rPr>
      </w:pPr>
      <w:r>
        <w:rPr>
          <w:lang w:val="es-ES" w:eastAsia="es-ES" w:bidi="en-US"/>
        </w:rPr>
        <w:t xml:space="preserve">d. Una vez cumplido el requisito señalado en el literal anterior, se aplica la ley de arrastre, se determina la calificación de los créditos de cada asociado y se deberán constituir los deterioros respectivos.  </w:t>
      </w:r>
    </w:p>
    <w:p w14:paraId="64CB0803">
      <w:pPr>
        <w:jc w:val="both"/>
        <w:rPr>
          <w:lang w:val="es-ES" w:eastAsia="es-ES" w:bidi="en-US"/>
        </w:rPr>
      </w:pPr>
      <w:r>
        <w:rPr>
          <w:lang w:val="es-ES" w:eastAsia="es-ES" w:bidi="en-US"/>
        </w:rPr>
        <w:t>e. El mejoramiento de la calificación de los créditos reestructurados se debe hacer en forma escalonada, es decir, una vez cumplido el requisito de calificación en el literal anterior se deben aplicar dos pagos consecutivos de la cuota pactada de acuerdo con su forma de amortización, para adquirir una calificación de menor riesgo (por ejemplo: de calificación E a D), y así sucesivamente hasta llegar a calificación A</w:t>
      </w:r>
    </w:p>
    <w:p w14:paraId="5BFF41BD">
      <w:pPr>
        <w:jc w:val="both"/>
        <w:rPr>
          <w:lang w:val="es-ES" w:eastAsia="es-ES" w:bidi="en-US"/>
        </w:rPr>
      </w:pPr>
      <w:r>
        <w:rPr>
          <w:lang w:val="es-ES" w:eastAsia="es-ES" w:bidi="en-US"/>
        </w:rPr>
        <w:t>f. No obstante, si el crédito presenta mora, independientemente de la calificación que tenga en ese momento, se deberá llevar inmediatamente a la calificación que tenía al efectuarse la reestructuración (acumulando la mora del inicio y del proceso de reestructuración incumplido), efectuar la ley de arrastre y calcular los respectivos deterioros. Actividad que estará bajo la responsabilidad del área de cartera.</w:t>
      </w:r>
    </w:p>
    <w:p w14:paraId="6A89EA04">
      <w:pPr>
        <w:jc w:val="both"/>
        <w:rPr>
          <w:lang w:val="es-ES" w:eastAsia="es-ES" w:bidi="en-US"/>
        </w:rPr>
      </w:pPr>
      <w:r>
        <w:rPr>
          <w:lang w:val="es-ES" w:eastAsia="es-ES" w:bidi="en-US"/>
        </w:rPr>
        <w:t xml:space="preserve">g. Los ingresos de todos los créditos que sean reestructurados más de una vez deberán contabilizarse por el sistema de caja. </w:t>
      </w:r>
    </w:p>
    <w:p w14:paraId="47E38D0B">
      <w:pPr>
        <w:jc w:val="both"/>
        <w:rPr>
          <w:lang w:val="es-ES" w:eastAsia="es-ES" w:bidi="en-US"/>
        </w:rPr>
      </w:pPr>
      <w:r>
        <w:rPr>
          <w:lang w:val="es-ES" w:eastAsia="es-ES" w:bidi="en-US"/>
        </w:rPr>
        <w:t xml:space="preserve">h. Se debe efectuar un seguimiento permanente respecto del cumplimiento del acuerdo de reestructuración. </w:t>
      </w:r>
    </w:p>
    <w:p w14:paraId="7FA6C6EB">
      <w:pPr>
        <w:jc w:val="both"/>
        <w:rPr>
          <w:lang w:val="es-ES" w:eastAsia="es-ES" w:bidi="en-US"/>
        </w:rPr>
      </w:pPr>
      <w:r>
        <w:rPr>
          <w:lang w:val="es-ES" w:eastAsia="es-ES" w:bidi="en-US"/>
        </w:rPr>
        <w:t>i. En caso de existir garantía hipotecaria o prendaria se debe hacer actualización del avalúo de las mismas, teniendo en cuenta los parámetros establecidos en el presente capítulo. Si el avalúo está vigente, se puede colocar que se hace una inspección ocular.</w:t>
      </w:r>
    </w:p>
    <w:p w14:paraId="3C2A231A">
      <w:pPr>
        <w:jc w:val="both"/>
        <w:rPr>
          <w:lang w:val="es-ES" w:eastAsia="es-ES" w:bidi="en-US"/>
        </w:rPr>
      </w:pPr>
      <w:r>
        <w:rPr>
          <w:lang w:val="es-ES" w:eastAsia="es-ES" w:bidi="en-US"/>
        </w:rPr>
        <w:t>j. En los casos a los que se refieren las Leyes 550 de 1999, 1116 de 2006 y 1564 de 2012, a partir de la fecha en que se inicie la negociación de un acuerdo de acreedores, la cooperativa como titular de las respectivas acreencias, dejará de causar intereses sobre los créditos vigentes, pero podrán mantener la calificación que tuvieran dichos créditos en la fecha de inicio de las negociaciones.</w:t>
      </w:r>
    </w:p>
    <w:p w14:paraId="37916E7E">
      <w:pPr>
        <w:jc w:val="both"/>
        <w:rPr>
          <w:lang w:val="es-ES" w:eastAsia="es-ES" w:bidi="en-US"/>
        </w:rPr>
      </w:pPr>
      <w:r>
        <w:rPr>
          <w:lang w:val="es-ES" w:eastAsia="es-ES" w:bidi="en-US"/>
        </w:rPr>
        <w:t>k. En el evento en que la negociación fracase los créditos se calificarán en categoría “E”, crédito incobrable.</w:t>
      </w:r>
    </w:p>
    <w:p w14:paraId="6148ADA4">
      <w:pPr>
        <w:jc w:val="both"/>
        <w:rPr>
          <w:lang w:val="es-ES" w:eastAsia="es-ES" w:bidi="en-US"/>
        </w:rPr>
      </w:pPr>
      <w:r>
        <w:rPr>
          <w:lang w:val="es-ES" w:eastAsia="es-ES" w:bidi="en-US"/>
        </w:rPr>
        <w:t>l. Desde la formalización de un acuerdo de reestructuración, los créditos nuevos que se otorguen a las empresas o entidades territoriales reestructuradas podrán ser calificados en categoría “A”.</w:t>
      </w:r>
    </w:p>
    <w:p w14:paraId="3C3A4C90">
      <w:pPr>
        <w:jc w:val="both"/>
        <w:rPr>
          <w:lang w:val="es-ES" w:eastAsia="es-ES" w:bidi="en-US"/>
        </w:rPr>
      </w:pPr>
      <w:r>
        <w:rPr>
          <w:lang w:val="es-ES" w:eastAsia="es-ES" w:bidi="en-US"/>
        </w:rPr>
        <w:t xml:space="preserve">COOPCALLEJONA podrá eliminar la condición de reestructurado cuando el deudor efectúe pagos regulares y efectivos a capital e intereses por un período ininterrumpido de 12 meses para microcrédito, 2 años para consumo, comercial y de vivienda. </w:t>
      </w:r>
    </w:p>
    <w:p w14:paraId="18F5C0EC">
      <w:pPr>
        <w:jc w:val="both"/>
        <w:rPr>
          <w:lang w:val="es-ES" w:eastAsia="es-ES" w:bidi="en-US"/>
        </w:rPr>
      </w:pPr>
      <w:r>
        <w:rPr>
          <w:lang w:val="es-ES" w:eastAsia="es-ES" w:bidi="en-US"/>
        </w:rPr>
        <w:t xml:space="preserve">El objeto y efecto de la reestructuración de un crédito es modificar cualquiera de las condiciones originalmente pactadas en beneficio del deudor, permitiéndole la atención adecuada de su obligación sin perjudicar los intereses de COOPCALLEJONA. Se debe tener en cuenta que se celebra un nuevo negocio jurídico (se pactan condiciones en un nuevo pagaré) todas tendientes a facilitarle al deudor los pagos de acuerdo a un nuevo plan.  Este procedimiento implica la realización de un análisis exhaustivo </w:t>
      </w:r>
      <w:bookmarkStart w:id="293" w:name="_GoBack"/>
      <w:bookmarkEnd w:id="293"/>
      <w:r>
        <w:rPr>
          <w:lang w:val="es-ES" w:eastAsia="es-ES" w:bidi="en-US"/>
        </w:rPr>
        <w:t xml:space="preserve">por parte del analista de crédito o quien haga sus veces y posteriormente por parte del organismo competente, que permita establecer que efectivamente el crédito podrá ser recuperado bajo las nuevas condiciones. </w:t>
      </w:r>
    </w:p>
    <w:p w14:paraId="26F6E452">
      <w:pPr>
        <w:jc w:val="both"/>
        <w:rPr>
          <w:lang w:val="es-ES" w:eastAsia="es-ES" w:bidi="en-US"/>
        </w:rPr>
      </w:pPr>
      <w:r>
        <w:rPr>
          <w:lang w:val="es-ES" w:eastAsia="es-ES" w:bidi="en-US"/>
        </w:rPr>
        <w:t>Ningún préstamo podrá reestructurarse por más de dos (2) ocasiones durante su vigencia y el tiempo mínimo entre cada reestructuración no puede ser inferior a 12 meses. Para tener derecho a este beneficio se hace necesario haber cancelado mínimo los intereses causados, costas judiciales y honorarios del abogado, pues solo será objeto de reestructuración el monto del capital adeudado.</w:t>
      </w:r>
    </w:p>
    <w:p w14:paraId="23812865">
      <w:pPr>
        <w:jc w:val="both"/>
        <w:rPr>
          <w:u w:val="single"/>
          <w:lang w:val="es-ES" w:eastAsia="es-ES" w:bidi="en-US"/>
        </w:rPr>
      </w:pPr>
      <w:r>
        <w:rPr>
          <w:u w:val="single"/>
          <w:lang w:val="es-ES" w:eastAsia="es-ES" w:bidi="en-US"/>
        </w:rPr>
        <w:t>Análisis Y Aprobación De Solicitudes</w:t>
      </w:r>
    </w:p>
    <w:p w14:paraId="29F85CE1">
      <w:pPr>
        <w:jc w:val="both"/>
        <w:rPr>
          <w:lang w:val="es-ES" w:eastAsia="es-ES" w:bidi="en-US"/>
        </w:rPr>
      </w:pPr>
      <w:r>
        <w:rPr>
          <w:lang w:val="es-ES" w:eastAsia="es-ES" w:bidi="en-US"/>
        </w:rPr>
        <w:t xml:space="preserve">La solicitud de reestructuración se preparará y se soportará de acuerdo con lo establecido en el presente manual, será enviada a la sección de análisis de crédito con antelación a la fecha de la reunión del organismo a quien corresponda su estudio y aprobación. </w:t>
      </w:r>
    </w:p>
    <w:p w14:paraId="56A2BDE8">
      <w:pPr>
        <w:jc w:val="both"/>
        <w:rPr>
          <w:lang w:val="es-ES" w:eastAsia="es-ES" w:bidi="en-US"/>
        </w:rPr>
      </w:pPr>
      <w:r>
        <w:rPr>
          <w:lang w:val="es-ES" w:eastAsia="es-ES" w:bidi="en-US"/>
        </w:rPr>
        <w:t>Para efectuar la reestructuración, es indispensable que el asociado pague los intereses que adeude.  Para poder iniciar los trámites de reestructuración de una obligación, en todos los casos sin excepción, deberá existir solicitud escrita del asociado.</w:t>
      </w:r>
    </w:p>
    <w:p w14:paraId="3C5C403A">
      <w:pPr>
        <w:jc w:val="both"/>
        <w:rPr>
          <w:lang w:val="es-ES" w:eastAsia="es-ES" w:bidi="en-US"/>
        </w:rPr>
      </w:pPr>
      <w:r>
        <w:rPr>
          <w:lang w:val="es-ES" w:eastAsia="es-ES" w:bidi="en-US"/>
        </w:rPr>
        <w:t>En los casos en los cuales la reestructuración se solicite por intereses y capital, así como las solicitudes de incremento del plazo inicial, se harán a través de un nuevo crédito con sus respectivos soportes suscritos por el deudor y los codeudores. Se entiende que este tipo de reestructuraciones deberán ser presentados para su estudio y aprobación al organismo competente.</w:t>
      </w:r>
    </w:p>
    <w:p w14:paraId="42B26405">
      <w:pPr>
        <w:pStyle w:val="4"/>
        <w:rPr>
          <w:lang w:bidi="en-US"/>
        </w:rPr>
      </w:pPr>
      <w:bookmarkStart w:id="257" w:name="_Toc182642895"/>
      <w:r>
        <w:rPr>
          <w:lang w:bidi="en-US"/>
        </w:rPr>
        <w:t>13.5.1 Variantes</w:t>
      </w:r>
      <w:bookmarkEnd w:id="257"/>
    </w:p>
    <w:p w14:paraId="2C36DCA5">
      <w:pPr>
        <w:jc w:val="both"/>
        <w:rPr>
          <w:lang w:val="es-MX" w:eastAsia="es-CO" w:bidi="en-US"/>
        </w:rPr>
      </w:pPr>
      <w:r>
        <w:rPr>
          <w:lang w:val="es-MX" w:eastAsia="es-CO" w:bidi="en-US"/>
        </w:rPr>
        <w:t>En los casos en que una obligación esté en cobro jurídico y existan medidas previas (embargos de bienes inmuebles, muebles, vehículos, salarios, etc.) la reestructuración de dicha obligación únicamente se podrá realizar siempre y cuando se ofrezca garantía real admisible, para la nueva obligación. A la documentación se deberá anexar el concepto del abogado que lleva actualmente el proceso, sobre la viabilidad de recuperación a corto plazo de la obligación actual.</w:t>
      </w:r>
    </w:p>
    <w:p w14:paraId="57FF2A3A">
      <w:pPr>
        <w:pStyle w:val="4"/>
        <w:rPr>
          <w:lang w:bidi="en-US"/>
        </w:rPr>
      </w:pPr>
      <w:bookmarkStart w:id="258" w:name="_Toc182642896"/>
      <w:r>
        <w:rPr>
          <w:lang w:bidi="en-US"/>
        </w:rPr>
        <w:t>13.5.2 Aspectos Contables</w:t>
      </w:r>
      <w:bookmarkEnd w:id="258"/>
    </w:p>
    <w:p w14:paraId="601C9A35">
      <w:pPr>
        <w:jc w:val="both"/>
        <w:rPr>
          <w:lang w:val="es-MX" w:eastAsia="es-CO" w:bidi="en-US"/>
        </w:rPr>
      </w:pPr>
      <w:r>
        <w:rPr>
          <w:lang w:val="es-MX" w:eastAsia="es-CO" w:bidi="en-US"/>
        </w:rPr>
        <w:t>Las operaciones contables, en caso de reestructuración se deben efectuar el mismo día.</w:t>
      </w:r>
    </w:p>
    <w:p w14:paraId="4454C915">
      <w:pPr>
        <w:jc w:val="both"/>
        <w:rPr>
          <w:lang w:val="es-MX" w:eastAsia="es-CO" w:bidi="en-US"/>
        </w:rPr>
      </w:pPr>
      <w:r>
        <w:rPr>
          <w:lang w:val="es-MX" w:eastAsia="es-CO" w:bidi="en-US"/>
        </w:rPr>
        <w:t>Si la reestructuración corresponde únicamente al capital o parte del capital, el cliente deberá cancelar el mismo día los demás aditamentos. Posteriormente se cumplen los siguientes pasos:</w:t>
      </w:r>
    </w:p>
    <w:p w14:paraId="04E1EB3A">
      <w:pPr>
        <w:jc w:val="both"/>
        <w:rPr>
          <w:lang w:val="es-MX" w:eastAsia="es-CO" w:bidi="en-US"/>
        </w:rPr>
      </w:pPr>
      <w:r>
        <w:rPr>
          <w:lang w:val="es-MX" w:eastAsia="es-CO" w:bidi="en-US"/>
        </w:rPr>
        <w:t xml:space="preserve">Solo el consejo de administración podrá aumentar el plazo inicial con el que se aprobó si es necesario por encima del plazo máximo de 72 meses que aparece en el presente manual, esto con el previo análisis rigoroso de la capacidad de pago, garantías y soportes de los ingresos. </w:t>
      </w:r>
    </w:p>
    <w:p w14:paraId="6A09CD82">
      <w:pPr>
        <w:jc w:val="both"/>
        <w:rPr>
          <w:lang w:val="es-MX" w:eastAsia="es-CO" w:bidi="en-US"/>
        </w:rPr>
      </w:pPr>
      <w:r>
        <w:rPr>
          <w:lang w:val="es-MX" w:eastAsia="es-CO" w:bidi="en-US"/>
        </w:rPr>
        <w:t>a)</w:t>
      </w:r>
      <w:r>
        <w:rPr>
          <w:lang w:val="es-MX" w:eastAsia="es-CO" w:bidi="en-US"/>
        </w:rPr>
        <w:tab/>
      </w:r>
      <w:r>
        <w:rPr>
          <w:lang w:val="es-MX" w:eastAsia="es-CO" w:bidi="en-US"/>
        </w:rPr>
        <w:t>En el caso de las novaciones o refinanciaciones de los créditos que se encuentren en categoría A, se deberán calificar en categoría de riesgo “B” si no se mejoran las garantías admisibles.  Habrá lugar a dejar la calificación en A siempre y cuando los créditos vigentes no hubiesen presentado mora por cualquier tiempo y no se incremente el valor del crédito inicial que origina la novación o refinanciación.</w:t>
      </w:r>
    </w:p>
    <w:p w14:paraId="38E67541">
      <w:pPr>
        <w:jc w:val="both"/>
        <w:rPr>
          <w:lang w:val="es-MX" w:eastAsia="es-CO" w:bidi="en-US"/>
        </w:rPr>
      </w:pPr>
      <w:r>
        <w:rPr>
          <w:lang w:val="es-MX" w:eastAsia="es-CO" w:bidi="en-US"/>
        </w:rPr>
        <w:t>b)</w:t>
      </w:r>
      <w:r>
        <w:rPr>
          <w:lang w:val="es-MX" w:eastAsia="es-CO" w:bidi="en-US"/>
        </w:rPr>
        <w:tab/>
      </w:r>
      <w:r>
        <w:rPr>
          <w:lang w:val="es-MX" w:eastAsia="es-CO" w:bidi="en-US"/>
        </w:rPr>
        <w:t>Para créditos que posean garantía hipotecaria o prendaria, se debe actualizar el avalúo, siempre que el último avalúo tenga más de tres (3) años de haber sido practicado cuando se trate de la primera reestructuración; en tanto que cuando se trata de una segunda reestructuración el avalúo comercial no debe registrar más de un año de haberse practicado, a fin de establecer su valor de mercado o de realización.</w:t>
      </w:r>
    </w:p>
    <w:p w14:paraId="7C2D184D">
      <w:pPr>
        <w:jc w:val="both"/>
        <w:rPr>
          <w:b/>
          <w:bCs/>
          <w:u w:val="single"/>
          <w:lang w:val="es-MX" w:eastAsia="es-CO" w:bidi="en-US"/>
        </w:rPr>
      </w:pPr>
      <w:r>
        <w:rPr>
          <w:b/>
          <w:bCs/>
          <w:u w:val="single"/>
          <w:lang w:val="es-MX" w:eastAsia="es-CO" w:bidi="en-US"/>
        </w:rPr>
        <w:t>Otras Disposiciones Sobre Reestructuraciones</w:t>
      </w:r>
    </w:p>
    <w:p w14:paraId="690A2C12">
      <w:pPr>
        <w:jc w:val="both"/>
        <w:rPr>
          <w:lang w:val="es-MX" w:eastAsia="es-CO" w:bidi="en-US"/>
        </w:rPr>
      </w:pPr>
      <w:r>
        <w:rPr>
          <w:lang w:val="es-MX" w:eastAsia="es-CO" w:bidi="en-US"/>
        </w:rPr>
        <w:t>1.</w:t>
      </w:r>
      <w:r>
        <w:rPr>
          <w:lang w:val="es-MX" w:eastAsia="es-CO" w:bidi="en-US"/>
        </w:rPr>
        <w:tab/>
      </w:r>
      <w:r>
        <w:rPr>
          <w:lang w:val="es-MX" w:eastAsia="es-CO" w:bidi="en-US"/>
        </w:rPr>
        <w:t>Toda reestructuración deberá ser solicitada en forma escrita por parte de los deudores, planteando las razones que la motivan.</w:t>
      </w:r>
    </w:p>
    <w:p w14:paraId="4649902C">
      <w:pPr>
        <w:jc w:val="both"/>
        <w:rPr>
          <w:lang w:val="es-MX" w:eastAsia="es-CO" w:bidi="en-US"/>
        </w:rPr>
      </w:pPr>
      <w:r>
        <w:rPr>
          <w:lang w:val="es-MX" w:eastAsia="es-CO" w:bidi="en-US"/>
        </w:rPr>
        <w:t>2.</w:t>
      </w:r>
      <w:r>
        <w:rPr>
          <w:lang w:val="es-MX" w:eastAsia="es-CO" w:bidi="en-US"/>
        </w:rPr>
        <w:tab/>
      </w:r>
      <w:r>
        <w:rPr>
          <w:lang w:val="es-MX" w:eastAsia="es-CO" w:bidi="en-US"/>
        </w:rPr>
        <w:t>El deudor y/o codeudores de un crédito reestructurado deben firmar una carta especial de compromiso y condiciones de la reestructuración de pago oportuno; en la cual se les advierte que al registrar mora de hasta 20 días será enviado a cobro jurídico.</w:t>
      </w:r>
    </w:p>
    <w:p w14:paraId="0F2CB577">
      <w:pPr>
        <w:jc w:val="both"/>
        <w:rPr>
          <w:lang w:val="es-MX" w:eastAsia="es-CO" w:bidi="en-US"/>
        </w:rPr>
      </w:pPr>
      <w:r>
        <w:rPr>
          <w:lang w:val="es-MX" w:eastAsia="es-CO" w:bidi="en-US"/>
        </w:rPr>
        <w:t>3.</w:t>
      </w:r>
      <w:r>
        <w:rPr>
          <w:lang w:val="es-MX" w:eastAsia="es-CO" w:bidi="en-US"/>
        </w:rPr>
        <w:tab/>
      </w:r>
      <w:r>
        <w:rPr>
          <w:lang w:val="es-MX" w:eastAsia="es-CO" w:bidi="en-US"/>
        </w:rPr>
        <w:t>Para reestructurar el crédito deberá, como mínimo pagarse la totalidad de los intereses causados de las cuotas vencidas y los intereses de mora generados.</w:t>
      </w:r>
    </w:p>
    <w:p w14:paraId="413A42AA">
      <w:pPr>
        <w:jc w:val="both"/>
        <w:rPr>
          <w:lang w:val="es-MX" w:eastAsia="es-CO" w:bidi="en-US"/>
        </w:rPr>
      </w:pPr>
      <w:r>
        <w:rPr>
          <w:lang w:val="es-MX" w:eastAsia="es-CO" w:bidi="en-US"/>
        </w:rPr>
        <w:t>4.</w:t>
      </w:r>
      <w:r>
        <w:rPr>
          <w:lang w:val="es-MX" w:eastAsia="es-CO" w:bidi="en-US"/>
        </w:rPr>
        <w:tab/>
      </w:r>
      <w:r>
        <w:rPr>
          <w:lang w:val="es-MX" w:eastAsia="es-CO" w:bidi="en-US"/>
        </w:rPr>
        <w:t>La liberación de provisiones o mejora de calificación se hará en función de la rehabilitación de categorías, según lo ya definido. En todo caso se mantendrá el mismo porcentaje de provisión establecido al momento de autorizarse la reestructuración.</w:t>
      </w:r>
    </w:p>
    <w:p w14:paraId="731C4294">
      <w:pPr>
        <w:jc w:val="both"/>
        <w:rPr>
          <w:lang w:val="es-MX" w:eastAsia="es-CO" w:bidi="en-US"/>
        </w:rPr>
      </w:pPr>
      <w:r>
        <w:rPr>
          <w:lang w:val="es-MX" w:eastAsia="es-CO" w:bidi="en-US"/>
        </w:rPr>
        <w:t>5.</w:t>
      </w:r>
      <w:r>
        <w:rPr>
          <w:lang w:val="es-MX" w:eastAsia="es-CO" w:bidi="en-US"/>
        </w:rPr>
        <w:tab/>
      </w:r>
      <w:r>
        <w:rPr>
          <w:lang w:val="es-MX" w:eastAsia="es-CO" w:bidi="en-US"/>
        </w:rPr>
        <w:t>La gestión de cobro para los créditos reestructurados debe ser más exigente que la aplicada a los créditos de comportamiento normal. Esto obliga a un seguimiento permanente por parte del área de cartera.</w:t>
      </w:r>
    </w:p>
    <w:p w14:paraId="2C0FA127">
      <w:pPr>
        <w:jc w:val="both"/>
        <w:rPr>
          <w:lang w:val="es-MX" w:eastAsia="es-CO" w:bidi="en-US"/>
        </w:rPr>
      </w:pPr>
      <w:r>
        <w:rPr>
          <w:lang w:val="es-MX" w:eastAsia="es-CO" w:bidi="en-US"/>
        </w:rPr>
        <w:t>6.</w:t>
      </w:r>
      <w:r>
        <w:rPr>
          <w:lang w:val="es-MX" w:eastAsia="es-CO" w:bidi="en-US"/>
        </w:rPr>
        <w:tab/>
      </w:r>
      <w:r>
        <w:rPr>
          <w:lang w:val="es-MX" w:eastAsia="es-CO" w:bidi="en-US"/>
        </w:rPr>
        <w:t>En caso de no obtener respuesta positiva a la gestión, se debe proceder inmediatamente al cobro jurídico.</w:t>
      </w:r>
    </w:p>
    <w:p w14:paraId="6EA619A6">
      <w:pPr>
        <w:jc w:val="both"/>
        <w:rPr>
          <w:lang w:val="es-MX" w:eastAsia="es-CO" w:bidi="en-US"/>
        </w:rPr>
      </w:pPr>
      <w:r>
        <w:rPr>
          <w:lang w:val="es-MX" w:eastAsia="es-CO" w:bidi="en-US"/>
        </w:rPr>
        <w:t>Por política, la reestructuración de operaciones ocurre de manera excepcional, cuando quiera que se den las condiciones para ello, previo un estudio de viabilidad dada la situación financiera del deudor, en especial, tomando en consideración su capacidad de pago para atender el servicio de la deuda reestructurada.</w:t>
      </w:r>
    </w:p>
    <w:p w14:paraId="77921B74">
      <w:pPr>
        <w:jc w:val="both"/>
        <w:rPr>
          <w:lang w:val="es-MX" w:eastAsia="es-CO" w:bidi="en-US"/>
        </w:rPr>
      </w:pPr>
      <w:r>
        <w:rPr>
          <w:lang w:val="es-MX" w:eastAsia="es-CO" w:bidi="en-US"/>
        </w:rPr>
        <w:t>Una novación no se considera reestructuración cuando el propósito no sea el de facilitar el cumplimiento adecuado de la obligación. En este caso, la cooperativa deberá realizar todo el procedimiento de evaluación previsto para el otorgamiento del nuevo crédito. Pero si la novación se produce con el ánimo de facilitar el cumplimiento adecuado de una obligación ante el real o potencial deterioro de la capacidad de pago del deudor, se considera una reestructuración y deberá cumplir con el procedimiento señalado para tal evento.</w:t>
      </w:r>
    </w:p>
    <w:p w14:paraId="302F114A">
      <w:pPr>
        <w:pStyle w:val="3"/>
      </w:pPr>
      <w:bookmarkStart w:id="259" w:name="_Toc182642897"/>
      <w:r>
        <w:t>Pago por la modalidad de dación en pago</w:t>
      </w:r>
      <w:bookmarkEnd w:id="259"/>
      <w:r>
        <w:t xml:space="preserve"> </w:t>
      </w:r>
    </w:p>
    <w:p w14:paraId="64AB072E">
      <w:pPr>
        <w:jc w:val="both"/>
        <w:rPr>
          <w:lang w:val="es-ES" w:eastAsia="es-ES" w:bidi="en-US"/>
        </w:rPr>
      </w:pPr>
      <w:r>
        <w:rPr>
          <w:lang w:val="es-ES" w:eastAsia="es-ES" w:bidi="en-US"/>
        </w:rPr>
        <w:t>Los bienes recibidos en pago son aquellos bienes muebles e inmuebles recibidos por la Cooperativa como pago parcial o total de las obligaciones a su favor, en desarrollo de las actividades propias de su objeto social.</w:t>
      </w:r>
    </w:p>
    <w:p w14:paraId="103F6DD2">
      <w:pPr>
        <w:jc w:val="both"/>
        <w:rPr>
          <w:b/>
          <w:bCs/>
          <w:u w:val="single"/>
          <w:lang w:val="es-ES" w:eastAsia="es-ES" w:bidi="en-US"/>
        </w:rPr>
      </w:pPr>
      <w:r>
        <w:rPr>
          <w:b/>
          <w:bCs/>
          <w:u w:val="single"/>
          <w:lang w:val="es-ES" w:eastAsia="es-ES" w:bidi="en-US"/>
        </w:rPr>
        <w:t>Políticas generales:</w:t>
      </w:r>
    </w:p>
    <w:p w14:paraId="6C64B94C">
      <w:pPr>
        <w:jc w:val="both"/>
        <w:rPr>
          <w:lang w:val="es-ES" w:eastAsia="es-ES" w:bidi="en-US"/>
        </w:rPr>
      </w:pPr>
      <w:r>
        <w:rPr>
          <w:lang w:val="es-ES" w:eastAsia="es-ES" w:bidi="en-US"/>
        </w:rPr>
        <w:t>• El recibo de bienes en pago es un mecanismo excepcional para recuperar los recursos colocados y, por lo tanto, la Gerencia y el Consejo de Administración deben hacer las gestiones necesarias para su enajenación dentro de los plazos que se señalan las disposiciones vigentes.</w:t>
      </w:r>
    </w:p>
    <w:p w14:paraId="6F2598A9">
      <w:pPr>
        <w:jc w:val="both"/>
        <w:rPr>
          <w:lang w:val="es-ES" w:eastAsia="es-ES" w:bidi="en-US"/>
        </w:rPr>
      </w:pPr>
      <w:r>
        <w:rPr>
          <w:lang w:val="es-ES" w:eastAsia="es-ES" w:bidi="en-US"/>
        </w:rPr>
        <w:t xml:space="preserve">• Todo bien recibido en pago, ya sea en dación o por adjudicación a través de un despacho judicial, se contabilizará inicialmente por el valor aceptado en la dación o adjudicación, sustentada en un avalúo de reconocido valor técnico. </w:t>
      </w:r>
    </w:p>
    <w:p w14:paraId="105E7592">
      <w:pPr>
        <w:jc w:val="both"/>
        <w:rPr>
          <w:lang w:val="es-ES" w:eastAsia="es-ES" w:bidi="en-US"/>
        </w:rPr>
      </w:pPr>
      <w:r>
        <w:rPr>
          <w:lang w:val="es-ES" w:eastAsia="es-ES" w:bidi="en-US"/>
        </w:rPr>
        <w:t xml:space="preserve">•Según lo establecido por la SES frente a los bienes recibidos en dación en pago en el Capítulo II Título I de la Circular Básica Financiera y Contable: </w:t>
      </w:r>
      <w:r>
        <w:rPr>
          <w:i/>
          <w:iCs/>
          <w:u w:val="single"/>
          <w:lang w:val="es-ES" w:eastAsia="es-ES" w:bidi="en-US"/>
        </w:rPr>
        <w:t>“…En el caso de las organizaciones que apliquen el Marco Técnico de Información Financiera para Grupo 2 (NIIF para las Pymes contenida en el Anexo 2, del Decreto Único Reglamentario 2420 de 2015, modificado por los Decretos 2496 de 2015, 2131 y 2132 de 2016, 2170 de 2017, 2483 de 2018 y 2270 de 2019) o el Marco Técnico de Información Financiera para Microempresas (Grupo 3), contenida en el Anexo 3, del Decreto Único Reglamentario 2420 de 2015, el registro contable se realizará en el activo como propiedades, planta y equipo bajo la cuenta de Bienes Recibidos en Pago.”</w:t>
      </w:r>
    </w:p>
    <w:p w14:paraId="12D1245B">
      <w:pPr>
        <w:jc w:val="both"/>
        <w:rPr>
          <w:lang w:val="es-ES" w:eastAsia="es-ES" w:bidi="en-US"/>
        </w:rPr>
      </w:pPr>
      <w:r>
        <w:rPr>
          <w:lang w:val="es-ES" w:eastAsia="es-ES" w:bidi="en-US"/>
        </w:rPr>
        <w:t>• Para la realización de los avalúos requeridos se tendrán en cuenta las políticas ya definidas frente a las Garantías teniendo en cuenta que los avalúos que se acepten para recibir un bien en pago no pueden tener una antigüedad mayor a un (1) año, contados a partir de la fecha de su última actualización.</w:t>
      </w:r>
    </w:p>
    <w:p w14:paraId="7C6C6104">
      <w:pPr>
        <w:jc w:val="both"/>
        <w:rPr>
          <w:lang w:val="es-ES" w:eastAsia="es-ES" w:bidi="en-US"/>
        </w:rPr>
      </w:pPr>
      <w:r>
        <w:rPr>
          <w:lang w:val="es-ES" w:eastAsia="es-ES" w:bidi="en-US"/>
        </w:rPr>
        <w:t>• La Gerencia analizará la propuesta y la llevará al Consejo de Administración para su aprobación. Así mismo el concepto del abogado si la obligación se encuentra judicializada.</w:t>
      </w:r>
    </w:p>
    <w:p w14:paraId="64D2CBDD">
      <w:pPr>
        <w:jc w:val="both"/>
        <w:rPr>
          <w:lang w:val="es-ES" w:eastAsia="es-ES" w:bidi="en-US"/>
        </w:rPr>
      </w:pPr>
      <w:r>
        <w:rPr>
          <w:lang w:val="es-ES" w:eastAsia="es-ES" w:bidi="en-US"/>
        </w:rPr>
        <w:t>• Se tramitarán solicitudes de bienes en dación de pago ante el Consejo de Administración, una vez la Gerencia y el abogado expresen que no existe posibilidad de recaudo de la cartera en efectivo y que con la recepción del bien se efectué el pago de capital, interés y otros conceptos adeudados.</w:t>
      </w:r>
    </w:p>
    <w:p w14:paraId="05E3CF68">
      <w:pPr>
        <w:jc w:val="both"/>
        <w:rPr>
          <w:lang w:val="es-ES" w:eastAsia="es-ES" w:bidi="en-US"/>
        </w:rPr>
      </w:pPr>
      <w:r>
        <w:rPr>
          <w:lang w:val="es-ES" w:eastAsia="es-ES" w:bidi="en-US"/>
        </w:rPr>
        <w:t>• Una vez tomada la determinación por parte del Consejo de Administración se comunicará al Auxiliar administrativo de crédito y cartera, devolviendo los documentos anteriormente indicados para los tramites requeridos.</w:t>
      </w:r>
    </w:p>
    <w:p w14:paraId="0F986E66">
      <w:pPr>
        <w:jc w:val="both"/>
        <w:rPr>
          <w:lang w:val="es-ES" w:eastAsia="es-ES" w:bidi="en-US"/>
        </w:rPr>
      </w:pPr>
      <w:r>
        <w:rPr>
          <w:lang w:val="es-ES" w:eastAsia="es-ES" w:bidi="en-US"/>
        </w:rPr>
        <w:t>• El Auxiliar administrativo de crédito y cartera adelantara la diligencia para elevar a escritura pública el bien inmueble ofrecido en dación de pago; igualmente, adelantara la diligencia del registro del bien ante el ente competente e informara al área contable para los registros contables respectivos.</w:t>
      </w:r>
    </w:p>
    <w:p w14:paraId="65CFF992">
      <w:pPr>
        <w:jc w:val="both"/>
        <w:rPr>
          <w:lang w:val="es-ES" w:eastAsia="es-ES" w:bidi="en-US"/>
        </w:rPr>
      </w:pPr>
      <w:r>
        <w:rPr>
          <w:lang w:val="es-ES" w:eastAsia="es-ES" w:bidi="en-US"/>
        </w:rPr>
        <w:t>• Los gastos notariales, registro, impuestos y demás gastos que se generen por el perfeccionamiento de la dación en pago serán a cargo del Asociado, salvo en el caso en que la Gerencia determinen algo diferente.</w:t>
      </w:r>
    </w:p>
    <w:p w14:paraId="76A650EB">
      <w:pPr>
        <w:jc w:val="both"/>
        <w:rPr>
          <w:lang w:val="es-ES" w:eastAsia="es-ES" w:bidi="en-US"/>
        </w:rPr>
      </w:pPr>
      <w:r>
        <w:rPr>
          <w:lang w:val="es-ES" w:eastAsia="es-ES" w:bidi="en-US"/>
        </w:rPr>
        <w:t>• Los bienes se reciben con carácter temporal, considerando un plazo máximo de dos (2) años, por lo cual los bienes muebles o inmuebles recibidos en pago, deben ser vendidos dentro de los dos (2) años siguientes a su recibo.</w:t>
      </w:r>
    </w:p>
    <w:p w14:paraId="657B4360">
      <w:pPr>
        <w:jc w:val="both"/>
        <w:rPr>
          <w:lang w:val="es-ES" w:eastAsia="es-ES" w:bidi="en-US"/>
        </w:rPr>
      </w:pPr>
      <w:r>
        <w:rPr>
          <w:lang w:val="es-ES" w:eastAsia="es-ES" w:bidi="en-US"/>
        </w:rPr>
        <w:t xml:space="preserve">• En caso de no ser posible la venta en el término establecido el Gerente podrá solicitar prórroga para la venta de los bienes recibidos en pago ante la Superintendencia. La solicitud se deberá presentar, por escrito, con un (1) mes de antelación al vencimiento del plazo de dos (2) años. En dicha comunicación, se debe documentar la gestión efectuada para la venta de tales bienes, la Superintendencia podrá autorizar prórrogas hasta por un (1) año, para la venta de bienes muebles y, hasta por dos (2) años, para la venta de los bienes inmuebles recibidos en pago. Este plazo, se contará a partir de la fecha de vencimiento del plazo inicial. </w:t>
      </w:r>
    </w:p>
    <w:p w14:paraId="44D4AB64">
      <w:pPr>
        <w:jc w:val="both"/>
        <w:rPr>
          <w:lang w:val="es-ES" w:eastAsia="es-ES" w:bidi="en-US"/>
        </w:rPr>
      </w:pPr>
      <w:r>
        <w:rPr>
          <w:lang w:val="es-ES" w:eastAsia="es-ES" w:bidi="en-US"/>
        </w:rPr>
        <w:t>• La cooperativa deberá reconocer y medir la pérdida por deterioro del valor de los bienes recibidos en pago, a partir de la fecha de recibo del bien, considerando el valor de realización de los bienes recibidos en pago y los flujos netos de caja, derivados de los diferentes ingresos y gastos efectuados hasta su realización, con base en la información histórica disponible.</w:t>
      </w:r>
    </w:p>
    <w:p w14:paraId="2DBFFC49">
      <w:pPr>
        <w:jc w:val="both"/>
        <w:rPr>
          <w:lang w:val="es-ES" w:eastAsia="es-ES" w:bidi="en-US"/>
        </w:rPr>
      </w:pPr>
      <w:r>
        <w:rPr>
          <w:lang w:val="es-ES" w:eastAsia="es-ES" w:bidi="en-US"/>
        </w:rPr>
        <w:t>• En todo caso, vencido el término legal para la venta sin que se haya efectuado y tampoco se haya autorizado prórroga, se exigirá que el reconocimiento del deterioro del valor del bien, corresponda al menos al 80% del costo de adquisición del bien recibido en pago.</w:t>
      </w:r>
    </w:p>
    <w:p w14:paraId="27C31640">
      <w:pPr>
        <w:jc w:val="both"/>
        <w:rPr>
          <w:lang w:val="es-ES" w:eastAsia="es-ES" w:bidi="en-US"/>
        </w:rPr>
      </w:pPr>
      <w:r>
        <w:rPr>
          <w:lang w:val="es-ES" w:eastAsia="es-ES" w:bidi="en-US"/>
        </w:rPr>
        <w:t>• Cuando el costo de adquisición del inmueble sea inferior al valor de la deuda registrada en el estado de situación financiera, la diferencia se debe reconocer, de manera inmediata, en el estado de resultados. Cuando el valor comercial del inmueble sea inferior al valor en libros de los bienes recibidos en pago, debe contabilizarse un deterioro por la diferencia.</w:t>
      </w:r>
    </w:p>
    <w:p w14:paraId="023960B5">
      <w:pPr>
        <w:jc w:val="both"/>
        <w:rPr>
          <w:b/>
          <w:bCs/>
          <w:u w:val="single"/>
          <w:lang w:val="es-ES" w:eastAsia="es-ES" w:bidi="en-US"/>
        </w:rPr>
      </w:pPr>
      <w:r>
        <w:rPr>
          <w:b/>
          <w:bCs/>
          <w:u w:val="single"/>
          <w:lang w:val="es-ES" w:eastAsia="es-ES" w:bidi="en-US"/>
        </w:rPr>
        <w:t>Aceptación de bienes recibidos en pago</w:t>
      </w:r>
    </w:p>
    <w:p w14:paraId="6E3FAFDB">
      <w:pPr>
        <w:jc w:val="both"/>
        <w:rPr>
          <w:lang w:val="es-ES" w:eastAsia="es-ES" w:bidi="en-US"/>
        </w:rPr>
      </w:pPr>
      <w:r>
        <w:rPr>
          <w:lang w:val="es-ES" w:eastAsia="es-ES" w:bidi="en-US"/>
        </w:rPr>
        <w:t>• Se podrán recibir bienes en dación en pago cuando el avaluó comercial se encuentre por el 100% del valor de Capital, Intereses y demás conceptos adeudados.</w:t>
      </w:r>
    </w:p>
    <w:p w14:paraId="1C4A55EE">
      <w:pPr>
        <w:jc w:val="both"/>
        <w:rPr>
          <w:lang w:val="es-ES" w:eastAsia="es-ES" w:bidi="en-US"/>
        </w:rPr>
      </w:pPr>
      <w:r>
        <w:rPr>
          <w:lang w:val="es-ES" w:eastAsia="es-ES" w:bidi="en-US"/>
        </w:rPr>
        <w:t>• Cuando el deudor ofrezca entregar el inmueble a COOPCALLEJONA en calidad de dación en pago, debe formalizar este ofrecimiento mediante una carta dirigida a COOPCALLEJONA y esta efectuará el respectivo avalúo, obteniendo el concepto jurídico del abogado externo que conoce del caso.</w:t>
      </w:r>
    </w:p>
    <w:p w14:paraId="6ACF4F1E">
      <w:pPr>
        <w:jc w:val="both"/>
        <w:rPr>
          <w:lang w:val="es-ES" w:eastAsia="es-ES" w:bidi="en-US"/>
        </w:rPr>
      </w:pPr>
      <w:r>
        <w:rPr>
          <w:lang w:val="es-ES" w:eastAsia="es-ES" w:bidi="en-US"/>
        </w:rPr>
        <w:t>• Una vez reunidos estos requisitos los documentos se remitirán a la Gerencia para tomar una decisión.</w:t>
      </w:r>
    </w:p>
    <w:p w14:paraId="2E1B32ED">
      <w:pPr>
        <w:jc w:val="both"/>
        <w:rPr>
          <w:lang w:val="es-ES" w:eastAsia="es-ES" w:bidi="en-US"/>
        </w:rPr>
      </w:pPr>
      <w:r>
        <w:rPr>
          <w:lang w:val="es-ES" w:eastAsia="es-ES" w:bidi="en-US"/>
        </w:rPr>
        <w:t>El procedimiento que se efectuará será el siguiente:</w:t>
      </w:r>
    </w:p>
    <w:p w14:paraId="647D7FD8">
      <w:pPr>
        <w:jc w:val="both"/>
        <w:rPr>
          <w:lang w:val="es-ES" w:eastAsia="es-ES" w:bidi="en-US"/>
        </w:rPr>
      </w:pPr>
      <w:r>
        <w:rPr>
          <w:lang w:val="es-ES" w:eastAsia="es-ES" w:bidi="en-US"/>
        </w:rPr>
        <w:t>Cuando el deudor de la obligación exponga la necesidad de entregar en dación de pago un determinado bien, se requiere que el Auxiliar administrativo de crédito y cartera ordene la presentación de los siguientes documentos:</w:t>
      </w:r>
    </w:p>
    <w:p w14:paraId="3D9E61D4">
      <w:pPr>
        <w:jc w:val="both"/>
        <w:rPr>
          <w:lang w:val="es-ES" w:eastAsia="es-ES" w:bidi="en-US"/>
        </w:rPr>
      </w:pPr>
      <w:r>
        <w:rPr>
          <w:lang w:val="es-ES" w:eastAsia="es-ES" w:bidi="en-US"/>
        </w:rPr>
        <w:t>• Estudio jurídico de títulos de los últimos diez (10) años emitido por el abogado externo, con el propósito de conocer si existen limitantes que afecten el perfeccionamiento de la operación de la dación en pago.</w:t>
      </w:r>
    </w:p>
    <w:p w14:paraId="001BCC20">
      <w:pPr>
        <w:jc w:val="both"/>
        <w:rPr>
          <w:lang w:val="es-ES" w:eastAsia="es-ES" w:bidi="en-US"/>
        </w:rPr>
      </w:pPr>
      <w:r>
        <w:rPr>
          <w:lang w:val="es-ES" w:eastAsia="es-ES" w:bidi="en-US"/>
        </w:rPr>
        <w:t>•Si el concepto es positivo en el sentido que el bien no se haya afectado por embargo o cualquier otra anotación que imposibilite el perfeccionamiento de la dación, se procede a efectuar el avalúo comercial por parte de COOPCALLEJONA.</w:t>
      </w:r>
    </w:p>
    <w:p w14:paraId="45728D64">
      <w:pPr>
        <w:jc w:val="both"/>
        <w:rPr>
          <w:lang w:val="es-ES" w:eastAsia="es-ES" w:bidi="en-US"/>
        </w:rPr>
      </w:pPr>
      <w:r>
        <w:rPr>
          <w:lang w:val="es-ES" w:eastAsia="es-ES" w:bidi="en-US"/>
        </w:rPr>
        <w:t>Una vez practicado el avalúo y rendido el concepto por parte del perito, deberán remitirse los siguientes documentos a la Gerencia para su respectiva evaluación, toma de decisión o recomendación dentro del nivel de atribuciones:</w:t>
      </w:r>
    </w:p>
    <w:p w14:paraId="56A6FDC9">
      <w:pPr>
        <w:jc w:val="both"/>
        <w:rPr>
          <w:lang w:val="es-ES" w:eastAsia="es-ES" w:bidi="en-US"/>
        </w:rPr>
      </w:pPr>
      <w:r>
        <w:rPr>
          <w:lang w:val="es-ES" w:eastAsia="es-ES" w:bidi="en-US"/>
        </w:rPr>
        <w:t>• Carta enviada por el Asociado en la cual se realiza la oferta.</w:t>
      </w:r>
    </w:p>
    <w:p w14:paraId="5F62E2AE">
      <w:pPr>
        <w:jc w:val="both"/>
        <w:rPr>
          <w:lang w:val="es-ES" w:eastAsia="es-ES" w:bidi="en-US"/>
        </w:rPr>
      </w:pPr>
      <w:r>
        <w:rPr>
          <w:lang w:val="es-ES" w:eastAsia="es-ES" w:bidi="en-US"/>
        </w:rPr>
        <w:t>• Avalúo Comercial en el que se incluya el tiempo probable de realización del bien.</w:t>
      </w:r>
    </w:p>
    <w:p w14:paraId="6F9F252B">
      <w:pPr>
        <w:jc w:val="both"/>
        <w:rPr>
          <w:lang w:val="es-ES" w:eastAsia="es-ES" w:bidi="en-US"/>
        </w:rPr>
      </w:pPr>
      <w:r>
        <w:rPr>
          <w:lang w:val="es-ES" w:eastAsia="es-ES" w:bidi="en-US"/>
        </w:rPr>
        <w:t>• Concepto de viabilidad por parte del Auxiliar administrativo de crédito y cartera, en el que incluya la liquidación total del crédito.</w:t>
      </w:r>
    </w:p>
    <w:p w14:paraId="4761DB68">
      <w:pPr>
        <w:jc w:val="both"/>
        <w:rPr>
          <w:lang w:val="es-ES" w:eastAsia="es-ES" w:bidi="en-US"/>
        </w:rPr>
      </w:pPr>
      <w:r>
        <w:rPr>
          <w:lang w:val="es-ES" w:eastAsia="es-ES" w:bidi="en-US"/>
        </w:rPr>
        <w:t>•Estudio de títulos de los últimos diez (10) años.</w:t>
      </w:r>
    </w:p>
    <w:p w14:paraId="102AF721">
      <w:pPr>
        <w:jc w:val="both"/>
        <w:rPr>
          <w:lang w:val="es-ES" w:eastAsia="es-ES" w:bidi="en-US"/>
        </w:rPr>
      </w:pPr>
      <w:r>
        <w:rPr>
          <w:lang w:val="es-ES" w:eastAsia="es-ES" w:bidi="en-US"/>
        </w:rPr>
        <w:t>Perfeccionada la operación, el Auxiliar administrativo de crédito y cartera debe remitir a la Gerencia los siguientes documentos para su respectivo archivo:</w:t>
      </w:r>
    </w:p>
    <w:p w14:paraId="5B57785D">
      <w:pPr>
        <w:jc w:val="both"/>
        <w:rPr>
          <w:lang w:val="es-ES" w:eastAsia="es-ES" w:bidi="en-US"/>
        </w:rPr>
      </w:pPr>
      <w:r>
        <w:rPr>
          <w:lang w:val="es-ES" w:eastAsia="es-ES" w:bidi="en-US"/>
        </w:rPr>
        <w:t>• Original de la escritura o del contrato de dación en pago.</w:t>
      </w:r>
    </w:p>
    <w:p w14:paraId="45B17DA6">
      <w:pPr>
        <w:jc w:val="both"/>
        <w:rPr>
          <w:lang w:val="es-ES" w:eastAsia="es-ES" w:bidi="en-US"/>
        </w:rPr>
      </w:pPr>
      <w:r>
        <w:rPr>
          <w:lang w:val="es-ES" w:eastAsia="es-ES" w:bidi="en-US"/>
        </w:rPr>
        <w:t>• Original del certificado de tradición y libertad del inmueble o del vehículo, además la tarjeta de propiedad del vehículo, o del inventario y acta de entrega cuando se trate de activos como maquinarias y equipos.</w:t>
      </w:r>
    </w:p>
    <w:p w14:paraId="452E186E">
      <w:pPr>
        <w:jc w:val="both"/>
        <w:rPr>
          <w:lang w:val="es-ES" w:eastAsia="es-ES" w:bidi="en-US"/>
        </w:rPr>
      </w:pPr>
      <w:r>
        <w:rPr>
          <w:lang w:val="es-ES" w:eastAsia="es-ES" w:bidi="en-US"/>
        </w:rPr>
        <w:t>• Avalúo Comercial del bien.</w:t>
      </w:r>
    </w:p>
    <w:p w14:paraId="146C069C">
      <w:pPr>
        <w:jc w:val="both"/>
        <w:rPr>
          <w:lang w:val="es-ES" w:eastAsia="es-ES" w:bidi="en-US"/>
        </w:rPr>
      </w:pPr>
      <w:r>
        <w:rPr>
          <w:lang w:val="es-ES" w:eastAsia="es-ES" w:bidi="en-US"/>
        </w:rPr>
        <w:t>• Acta en la que conste la entrega real y material del bien.</w:t>
      </w:r>
    </w:p>
    <w:p w14:paraId="0F464F90">
      <w:pPr>
        <w:jc w:val="both"/>
        <w:rPr>
          <w:lang w:val="es-ES" w:eastAsia="es-ES" w:bidi="en-US"/>
        </w:rPr>
      </w:pPr>
      <w:r>
        <w:rPr>
          <w:lang w:val="es-ES" w:eastAsia="es-ES" w:bidi="en-US"/>
        </w:rPr>
        <w:t>• Copia del comprobante contable con el cual se aplicó el valor de la dación a la obligación.</w:t>
      </w:r>
    </w:p>
    <w:p w14:paraId="52E18667">
      <w:pPr>
        <w:jc w:val="both"/>
        <w:rPr>
          <w:lang w:val="es-ES" w:eastAsia="es-ES" w:bidi="en-US"/>
        </w:rPr>
      </w:pPr>
      <w:r>
        <w:rPr>
          <w:lang w:val="es-ES" w:eastAsia="es-ES" w:bidi="en-US"/>
        </w:rPr>
        <w:t>Es importante que se conserve en sus archivos fotocopia de los documentos antes referidos.</w:t>
      </w:r>
    </w:p>
    <w:p w14:paraId="193D3468">
      <w:pPr>
        <w:pStyle w:val="3"/>
      </w:pPr>
      <w:bookmarkStart w:id="260" w:name="_Toc182642898"/>
      <w:r>
        <w:t>Modificaciones a los Créditos</w:t>
      </w:r>
      <w:bookmarkEnd w:id="260"/>
    </w:p>
    <w:p w14:paraId="3C191569">
      <w:pPr>
        <w:jc w:val="both"/>
      </w:pPr>
      <w:r>
        <w:t>La entidad podrá modificar las condiciones originalmente pactadas en los créditos con el fin de permitirle al deudor la atención adecuada de su obligación ante el potencial o real deterioro de su capacidad de pago, sin que estos ajustes sean considerados como una reestructuración, por lo cual no aplica la marca R para el deudor ni para efecto de reportes a la central de riesgos.</w:t>
      </w:r>
    </w:p>
    <w:p w14:paraId="295739D5">
      <w:pPr>
        <w:jc w:val="both"/>
      </w:pPr>
      <w:r>
        <w:t>Estas “Modificaciones”, podrán ser ofrecidas por la Cooperativa a los asociados o podrán ser solicitadas por los mismos mediante comunicación formal en las que se expliquen las razones del deterioro de su flujo de caja, en cualquiera de los dos casos el deudor deberá ser informado previamente de todas las implicaciones como reporte a centrales de riesgo, calificación en caso de entrar en mora, en que caso se marcará como reestructurado, etc</w:t>
      </w:r>
    </w:p>
    <w:p w14:paraId="12526E4F">
      <w:pPr>
        <w:jc w:val="both"/>
      </w:pPr>
      <w:r>
        <w:t>Los costos que genere la gestión de modificación de créditos no deben trasladarse al deudor.</w:t>
      </w:r>
    </w:p>
    <w:p w14:paraId="7F5E7C93">
      <w:pPr>
        <w:jc w:val="both"/>
      </w:pPr>
      <w:r>
        <w:t xml:space="preserve"> Para poder tramitar modificaciones el crédito a modificar deberá cumplir los siguientes requisitos:</w:t>
      </w:r>
    </w:p>
    <w:p w14:paraId="66DE163A">
      <w:pPr>
        <w:jc w:val="both"/>
      </w:pPr>
      <w:r>
        <w:t>• Para microcrédito y consumo: Que durante los últimos 6 meses el crédito no haya alcanzado una mora mayor a 60 días</w:t>
      </w:r>
    </w:p>
    <w:p w14:paraId="71078E9A">
      <w:pPr>
        <w:jc w:val="both"/>
      </w:pPr>
      <w:r>
        <w:t>• Para comercial y vivienda: Que durante los últimos 6 meses el crédito no haya alcanzado una mora mayor a 90 días</w:t>
      </w:r>
    </w:p>
    <w:p w14:paraId="49F69A7D">
      <w:pPr>
        <w:jc w:val="both"/>
      </w:pPr>
      <w:r>
        <w:t>Las Modificaciones se otorgarán previo análisis de crédito cumpliendo con los requisitos y políticas de aprobación, y tendrán el mismo procedimiento de análisis y aprobación que un crédito ordinario, con excepción de lo requerido en caso de la variable de promedio de morosidad con la Cooperativa.</w:t>
      </w:r>
    </w:p>
    <w:p w14:paraId="149180A9">
      <w:pPr>
        <w:jc w:val="both"/>
      </w:pPr>
      <w:r>
        <w:t>Las nuevas condiciones de la operación deben tener en cuenta el análisis de riesgo y capacidad de pago del deudor, sin desmejorar las garantías y sin que implique el uso excesivo de periodos de gracia.</w:t>
      </w:r>
    </w:p>
    <w:p w14:paraId="2D017F4E">
      <w:pPr>
        <w:jc w:val="both"/>
      </w:pPr>
      <w:r>
        <w:t>Las atribuciones para aprobar operaciones de modificaciones serán las mismas que rigen en el otorgamiento de créditos.</w:t>
      </w:r>
    </w:p>
    <w:p w14:paraId="2D7D97BF">
      <w:pPr>
        <w:jc w:val="both"/>
      </w:pPr>
      <w:r>
        <w:t>Las “Modificaciones” serán un recurso excepcional para regularizar el comportamiento de la cartera de créditos y no pueden convertirse en una práctica generalizada.</w:t>
      </w:r>
    </w:p>
    <w:p w14:paraId="46334E02">
      <w:pPr>
        <w:jc w:val="both"/>
      </w:pPr>
      <w:r>
        <w:t>Los créditos “Modificados” podrán mantener o deteriorar la calificación dependiendo de los resultados obtenidos del análisis del crédito y de las condiciones financieras del deudor al momento de operación, sin embargo, en ningún caso, la calificación podrá ser mejor a aquella que tenía el crédito al momento de solicitar la “Modificación”.</w:t>
      </w:r>
    </w:p>
    <w:p w14:paraId="3944717A">
      <w:pPr>
        <w:jc w:val="both"/>
      </w:pPr>
      <w:r>
        <w:t>Como política interna si el asociado solicita una “Modificación” y se encuentra en una calificación diferente a “A” la nueva obligación deberá nacer en la siguiente categoría, solo se mantendrá en la misma categoría si se mejoran las garantías.</w:t>
      </w:r>
    </w:p>
    <w:p w14:paraId="610B2FE7">
      <w:pPr>
        <w:jc w:val="both"/>
      </w:pPr>
      <w:r>
        <w:t>En el momento del desembolso deberá llevarse el registro del pagaré que se recoge con la modificación, numero del pagaré, saldo a capital, saldo a intereses, plazo, amortización, tasa calificación de riesgo, tasa, y tipo de cuota, tipo de cartera, y estos mismos datos del nuevo pagare con el que se está haciendo la “Modificación”</w:t>
      </w:r>
    </w:p>
    <w:p w14:paraId="0CFFD578">
      <w:pPr>
        <w:jc w:val="both"/>
      </w:pPr>
      <w:r>
        <w:t>a. Las obligaciones modificadas, deben ser objeto de monitoreo especial por parte de la Cooperativa por lo que deberán ser identificadas en el Sistema con la marca “M” para el respectivo seguimiento, actividad que debe ser realizada en el momento del desembolso, por el auxiliar administrativo de crédito y cartera.</w:t>
      </w:r>
    </w:p>
    <w:p w14:paraId="040EEB8D">
      <w:pPr>
        <w:jc w:val="both"/>
      </w:pPr>
      <w:r>
        <w:t>b. Si el deudor incumple el pago del crédito bajo las nuevas condiciones (mayor a 30 días de mora) en cualquier día del mes, se debe reconocer como una reestructuración, y por lo tanto debe efectuarse la debida marcación en el sistema como crédito Reestructurado, y para efectos de la marca de modificado se marcará como “MR”, con el fin de tener la trazabilidad de este tipo de operaciones, estas marcas deberán ser realizadas por el auxiliar administrativo de crédito y cartera.</w:t>
      </w:r>
    </w:p>
    <w:p w14:paraId="02EB998B">
      <w:pPr>
        <w:jc w:val="both"/>
      </w:pPr>
      <w:r>
        <w:t>c. El mejoramiento de la calificación de los créditos se debe hacer en forma escalonada, es decir, una vez originado el crédito se deben aplicar dos pagos consecutivos de la cuota pactada de acuerdo con su forma de amortización, para adquirir una calificación de menor riesgo (por ejemplo: de calificación E a D), y así sucesivamente hasta llegar a calificación A, esta actividad deberá ser verificada por el área de riesgos en forma mensual, registrando la nueva calificación en el Sistema.</w:t>
      </w:r>
    </w:p>
    <w:p w14:paraId="4F609067">
      <w:pPr>
        <w:jc w:val="both"/>
      </w:pPr>
      <w:r>
        <w:t>d. En los procesos de Evaluación y Calificación de Cartera, se tendrá en cuenta la estimación prospectiva del potencial deterioro de los asociados con créditos modificados, y de la actividad económica de los mismos.</w:t>
      </w:r>
    </w:p>
    <w:p w14:paraId="34A4C707">
      <w:pPr>
        <w:jc w:val="both"/>
      </w:pPr>
      <w:r>
        <w:t>e. Mensualmente como parte del informe del encargado de riesgos al comité de riesgos, se deberá llevar información sobre el cumplimiento en el pago de las obligaciones.</w:t>
      </w:r>
    </w:p>
    <w:p w14:paraId="307430A2">
      <w:pPr>
        <w:jc w:val="both"/>
      </w:pPr>
      <w:r>
        <w:t>f.  Una vez el deudor efectúe pagos regulares y efectivos a capital e intereses por un período de 9 meses ininterrumpidos para microcrédito, 1 año ininterrumpido para consumo y de 2 años ininterrumpidos para los créditos de las modalidades comercial y de vivienda, el crédito podrá salir de este monitoreo, y se marcara como crédito normal, para lo cual se identificara en el sistema con la Marca “MN”, el seguimiento y verificación de esta condición, así como el registro de la respectiva marca en el sistema, será responsabilidad del encargado de riesgos.</w:t>
      </w:r>
    </w:p>
    <w:p w14:paraId="747A8F90">
      <w:pPr>
        <w:jc w:val="both"/>
        <w:rPr>
          <w:u w:val="single"/>
        </w:rPr>
      </w:pPr>
      <w:r>
        <w:rPr>
          <w:u w:val="single"/>
        </w:rPr>
        <w:t>Modificaciones con periodo de gracia</w:t>
      </w:r>
    </w:p>
    <w:p w14:paraId="1CE289EA">
      <w:pPr>
        <w:jc w:val="both"/>
      </w:pPr>
      <w:r>
        <w:t>En caso de otorgar períodos de gracia, la calificación de la obligación deberá mantenerse, durante la vigencia de esta condición; sin embargo, la calificación podrá deteriorarse de acuerdo con el análisis de riesgo realizado para tal efecto.</w:t>
      </w:r>
    </w:p>
    <w:p w14:paraId="12CFBB22">
      <w:pPr>
        <w:jc w:val="both"/>
      </w:pPr>
      <w:r>
        <w:t>Durante el plazo que dure el período de gracia, sobre los intereses y otros conceptos asociados al crédito, causados no recaudados, se deberá constituir un deterioro o provisión del 100% durante el respectivo mes y registrarlos en las cuentas correspondientes. Tales valores sólo se podrán disminuir en la medida que se recauden.</w:t>
      </w:r>
    </w:p>
    <w:p w14:paraId="59F756E3">
      <w:pPr>
        <w:jc w:val="both"/>
      </w:pPr>
    </w:p>
    <w:p w14:paraId="5A3C118E">
      <w:pPr>
        <w:jc w:val="both"/>
      </w:pPr>
    </w:p>
    <w:p w14:paraId="01D13CDF">
      <w:pPr>
        <w:pStyle w:val="2"/>
      </w:pPr>
      <w:bookmarkStart w:id="261" w:name="_Toc182642899"/>
      <w:bookmarkStart w:id="262" w:name="_Toc151443704"/>
      <w:r>
        <w:t>CASTIGOS</w:t>
      </w:r>
      <w:bookmarkEnd w:id="261"/>
      <w:bookmarkEnd w:id="262"/>
    </w:p>
    <w:p w14:paraId="19951DE9">
      <w:pPr>
        <w:jc w:val="both"/>
      </w:pPr>
      <w:r>
        <w:t>La baja en cuentas o castigos corresponde a una depuración contable sobre partidas o cantidades registradas en el activo consideradas irrecuperables o de no conversión en efectivo, con el fin de revelar la realidad económica de los bienes y derechos existentes.</w:t>
      </w:r>
    </w:p>
    <w:p w14:paraId="08A92D45">
      <w:pPr>
        <w:jc w:val="both"/>
      </w:pPr>
      <w:r>
        <w:t>En el caso de la cartera de crédito y cuentas por cobrar derivadas de ésta, se deberá, al momento de exclusión o retiro voluntario del asociado, efectuar el cruce de aportes sociales y otros valores a favor del asociado retirado sobre el saldo insoluto de las obligaciones.  Por lo tanto, no puede existir baja en cuenta de estas operaciones sobre deudores que continúen asociados a la cooperativa. En caso de pérdidas del ejercicio se deberá aplicar lo señalado en las disposiciones legales y luego proceder a la baja en cuenta del saldo insoluto de la obligación.</w:t>
      </w:r>
    </w:p>
    <w:p w14:paraId="5D3A5754">
      <w:pPr>
        <w:jc w:val="both"/>
      </w:pPr>
      <w:r>
        <w:t>Sin perjuicio de las acciones que se deriven como responsabilidades a cargo de los administradores, como consecuencia de dar baja en cuenta de activos que dejaron de generar un beneficio económico futuro, el consejo de administración, según sea el caso, previo el análisis y el cumplimiento de los requisitos mínimos señalados en el presente Capítulo, podrá autorizar la baja en cuenta de activos</w:t>
      </w:r>
    </w:p>
    <w:p w14:paraId="22351240">
      <w:pPr>
        <w:jc w:val="both"/>
      </w:pPr>
      <w:r>
        <w:t>No puede existir baja en cuenta o castigo de cartera y cuentas por cobrar derivadas de esta, relacionada con deudores que continúen asociados a la cooperativa por lo cual, al momento de exclusión o retiro voluntario del asociado, se deberá efectuar el cruce de aportes sociales y otros valores a favor del asociado retirado. En caso que la cooperativa presente pérdidas del ejercicio, se deberá efectuar retención proporcional a los aportes y luego proceder a la baja en cuenta del saldo insoluto de la obligación.</w:t>
      </w:r>
    </w:p>
    <w:p w14:paraId="6909E7D5">
      <w:pPr>
        <w:jc w:val="both"/>
      </w:pPr>
      <w:r>
        <w:t>El Consejo de Administración, debe ampararse en los informes presentados por el estamento o instancia encargada de analizar la viabilidad de este proceso. Los informes deben estar debidamente motivados indicando, en forma detallada el origen de la decisión y soportados en documentos técnicos que demuestren el estudio adelantado y los resultados de la gestión efectuada.</w:t>
      </w:r>
    </w:p>
    <w:p w14:paraId="3C0FB444">
      <w:pPr>
        <w:jc w:val="both"/>
      </w:pPr>
      <w:r>
        <w:t>El Auxiliar administrativo de crédito y cartera será la persona responsable para coordinar todas las actividades requeridas para el castigo de la cartera.</w:t>
      </w:r>
    </w:p>
    <w:p w14:paraId="41835F08">
      <w:pPr>
        <w:jc w:val="both"/>
      </w:pPr>
      <w:r>
        <w:t>Para realizar el castigo las obligaciones deberán cumplir los siguientes requisitos:</w:t>
      </w:r>
    </w:p>
    <w:p w14:paraId="67E196F0">
      <w:pPr>
        <w:jc w:val="both"/>
      </w:pPr>
      <w:r>
        <w:t>• las obligaciones que deberán estar provisionadas en su totalidad, en caso de ordenarse castigo para obligaciones parcialmente provisionadas deberá inicialmente provisionarse el valor pendiente y posteriormente se podrá proceder a su castigo.</w:t>
      </w:r>
    </w:p>
    <w:p w14:paraId="546857A4">
      <w:pPr>
        <w:jc w:val="both"/>
      </w:pPr>
      <w:r>
        <w:t>• El concepto del auxiliar administrativo de crédito y cartera, en el cual se detallen las gestiones realizadas para considerar los activos como incobrables o irrecuperables, para la posterior certificación del representante legal.</w:t>
      </w:r>
    </w:p>
    <w:p w14:paraId="41F72258">
      <w:pPr>
        <w:jc w:val="both"/>
      </w:pPr>
      <w:r>
        <w:t xml:space="preserve">• El concepto por parte del área jurídica, técnico y legal, sobre la irrecuperabilidad del crédito. </w:t>
      </w:r>
    </w:p>
    <w:p w14:paraId="6C01460D">
      <w:pPr>
        <w:jc w:val="both"/>
      </w:pPr>
      <w:r>
        <w:t>• Las obligaciones cuyo saldo sea inferior a 2 SMMLV podrán ser sujetas a castigas aun en aquellos casos en que no se halla enviado la obligación a cobro jurídico.</w:t>
      </w:r>
    </w:p>
    <w:p w14:paraId="07E963DA">
      <w:pPr>
        <w:jc w:val="both"/>
      </w:pPr>
      <w:r>
        <w:t>Una vez aprobado el castigo de cartera por parte del Consejo de Administración, el auxiliar administrativo de crédito y cartera coordinara con el área contable los respectivos registros contables.</w:t>
      </w:r>
    </w:p>
    <w:p w14:paraId="1FA850E1">
      <w:pPr>
        <w:jc w:val="both"/>
      </w:pPr>
      <w:r>
        <w:t>Es importante que en el aplicativo se realice el cambio del estado del crédito, es decir, registrarlo como Cartera Castigada.</w:t>
      </w:r>
    </w:p>
    <w:p w14:paraId="17338170">
      <w:pPr>
        <w:jc w:val="both"/>
      </w:pPr>
      <w:r>
        <w:t>Se entiende que la baja en cuenta de activos no libera a los administradores de las responsabilidades a que haya lugar, por las decisiones adoptadas en relación con la cartera de créditos, cuentas por cobrar e inversiones y, en modo alguno, releva a la cooperativa de su obligación de proseguir con las gestiones de cobro que sean conducentes, teniendo en cuenta lo anterior el castigo de cartera no implica la terminación de los procesos ejecutivos adelantados, ni mucho menos la responsabilidad de la gestión de cobro por parte de la entidad</w:t>
      </w:r>
    </w:p>
    <w:p w14:paraId="2DF953EB">
      <w:pPr>
        <w:jc w:val="both"/>
      </w:pPr>
      <w:r>
        <w:t>COOPCALLEJONA deberá reportar a la Superintendencia los activos dados de baja, en el formato correspondiente, de conformidad con la periodicidad del reporte del formulario oficial de rendición de cuentas y el nivel de supervisión de la cooperativa.</w:t>
      </w:r>
    </w:p>
    <w:p w14:paraId="51153AFB">
      <w:pPr>
        <w:jc w:val="both"/>
      </w:pPr>
      <w:r>
        <w:t>Adicionalmente, según lo establecido por la CBCF: “las cooperativas de ahorro y crédito y las cooperativas multiactivas e integrales con sección de ahorro y crédito deberán reportar, en forma obligatoria dentro de los treinta (30) días calendario siguientes a la realización de la baja en cuenta correspondiente a, la información que se enuncia a continuación:</w:t>
      </w:r>
    </w:p>
    <w:p w14:paraId="36849C81">
      <w:pPr>
        <w:jc w:val="both"/>
      </w:pPr>
      <w:r>
        <w:t>a. Certificación del revisor fiscal donde conste la exactitud de los datos relacionados y las provisiones correspondientes para realizar la baja en cuenta.</w:t>
      </w:r>
    </w:p>
    <w:p w14:paraId="1874DB3B">
      <w:pPr>
        <w:jc w:val="both"/>
      </w:pPr>
      <w:r>
        <w:t xml:space="preserve">b. Comprobantes en los cuales se refleje el registro contable correspondiente (cuentas de situación financiera). </w:t>
      </w:r>
    </w:p>
    <w:p w14:paraId="03440D71">
      <w:pPr>
        <w:jc w:val="both"/>
      </w:pPr>
      <w:r>
        <w:t xml:space="preserve">c. Copia del acta del consejo de administración, donde conste la aprobación de la baja en cuenta. </w:t>
      </w:r>
    </w:p>
    <w:p w14:paraId="64C45289">
      <w:pPr>
        <w:jc w:val="both"/>
      </w:pPr>
      <w:r>
        <w:t>d. El concepto del representante legal, en el cual se detallen las gestiones realizadas para considerar los activos como incobrables o irrecuperables.</w:t>
      </w:r>
    </w:p>
    <w:p w14:paraId="5A9F2B3C">
      <w:pPr>
        <w:jc w:val="both"/>
      </w:pPr>
      <w:r>
        <w:t>e. El concepto jurídico, técnico y legal, sobre la irrecuperabilidad de la cartera de crédito.”</w:t>
      </w:r>
    </w:p>
    <w:p w14:paraId="6A2AB132">
      <w:pPr>
        <w:jc w:val="both"/>
      </w:pPr>
    </w:p>
    <w:p w14:paraId="5E8C3668">
      <w:pPr>
        <w:jc w:val="both"/>
      </w:pPr>
    </w:p>
    <w:p w14:paraId="396581B9">
      <w:pPr>
        <w:jc w:val="both"/>
      </w:pPr>
    </w:p>
    <w:p w14:paraId="3F5C44B8">
      <w:pPr>
        <w:jc w:val="both"/>
      </w:pPr>
    </w:p>
    <w:p w14:paraId="13F95A70">
      <w:pPr>
        <w:jc w:val="both"/>
      </w:pPr>
    </w:p>
    <w:p w14:paraId="418D5161">
      <w:pPr>
        <w:jc w:val="both"/>
      </w:pPr>
    </w:p>
    <w:p w14:paraId="3EBBB4DB">
      <w:pPr>
        <w:jc w:val="both"/>
      </w:pPr>
    </w:p>
    <w:p w14:paraId="60A7ACC3">
      <w:pPr>
        <w:jc w:val="both"/>
      </w:pPr>
    </w:p>
    <w:p w14:paraId="3E2A07EE">
      <w:pPr>
        <w:jc w:val="both"/>
      </w:pPr>
    </w:p>
    <w:p w14:paraId="3F0E419C">
      <w:pPr>
        <w:pStyle w:val="2"/>
      </w:pPr>
      <w:bookmarkStart w:id="263" w:name="_Toc182642900"/>
      <w:r>
        <w:t>SEGUIMIENTO Y CONTROL</w:t>
      </w:r>
      <w:bookmarkEnd w:id="263"/>
    </w:p>
    <w:p w14:paraId="5A07D682">
      <w:pPr>
        <w:pStyle w:val="3"/>
        <w:jc w:val="both"/>
      </w:pPr>
      <w:bookmarkStart w:id="264" w:name="_Toc182642901"/>
      <w:r>
        <w:t>Monitoreo a la cartera:</w:t>
      </w:r>
      <w:bookmarkEnd w:id="264"/>
      <w:r>
        <w:t xml:space="preserve"> </w:t>
      </w:r>
    </w:p>
    <w:p w14:paraId="79BD2618">
      <w:pPr>
        <w:jc w:val="both"/>
      </w:pPr>
      <w:r>
        <w:t>El monitoreo de la cartera lo deberá realizar el responsable de la gestión del riesgo crédito de forma mensual y los resultados que se generen deberán darse a conocer al Comité de Riesgos y por intermedio de este al Consejo de Administración, dentro de los análisis que serán efectuados como parte del monitoreo de la cartera están:</w:t>
      </w:r>
    </w:p>
    <w:p w14:paraId="686B63FF">
      <w:pPr>
        <w:pStyle w:val="4"/>
      </w:pPr>
      <w:bookmarkStart w:id="265" w:name="_Toc182642902"/>
      <w:r>
        <w:t>15.1.1 Matrices de Transición:</w:t>
      </w:r>
      <w:bookmarkEnd w:id="265"/>
    </w:p>
    <w:p w14:paraId="7AE82272">
      <w:pPr>
        <w:jc w:val="both"/>
      </w:pPr>
      <w:r>
        <w:t>Mínimo en forma anual el responsable de riesgos analizara las matrices de transición teniendo en cuenta los tipos de cartera y las actividades de inversión (líneas de crédito).</w:t>
      </w:r>
    </w:p>
    <w:p w14:paraId="367E7670">
      <w:pPr>
        <w:pStyle w:val="4"/>
      </w:pPr>
      <w:bookmarkStart w:id="266" w:name="_Toc182642903"/>
      <w:r>
        <w:t>15.1.2 Análisis de Cosechas</w:t>
      </w:r>
      <w:bookmarkEnd w:id="266"/>
    </w:p>
    <w:p w14:paraId="2C926674">
      <w:pPr>
        <w:jc w:val="both"/>
      </w:pPr>
      <w:r>
        <w:t xml:space="preserve">Por lo menos una vez al año se deberá realizar un informe que permita identificar el comportamiento de la cartera según las cosechas (año de desembolso)  </w:t>
      </w:r>
    </w:p>
    <w:p w14:paraId="077139B9">
      <w:pPr>
        <w:pStyle w:val="4"/>
      </w:pPr>
      <w:bookmarkStart w:id="267" w:name="_Toc182642904"/>
      <w:r>
        <w:t>15.1.3 Seguimiento de la cartera</w:t>
      </w:r>
      <w:bookmarkEnd w:id="267"/>
    </w:p>
    <w:p w14:paraId="1DC02FEC">
      <w:pPr>
        <w:jc w:val="both"/>
      </w:pPr>
      <w:r>
        <w:t>Por lo menos una vez al año el responsable de riesgos elaborara un informe general del estado de la cartera por tipo de cartera, actividades de inversión, segmento, actividades económicas, ubicación geográfica, entre otros.</w:t>
      </w:r>
    </w:p>
    <w:p w14:paraId="70FB2FAC">
      <w:pPr>
        <w:pStyle w:val="4"/>
      </w:pPr>
      <w:bookmarkStart w:id="268" w:name="_Toc182642905"/>
      <w:r>
        <w:t>15.1.4 Indicadores de morosidad</w:t>
      </w:r>
      <w:bookmarkEnd w:id="268"/>
    </w:p>
    <w:p w14:paraId="6F60C980">
      <w:pPr>
        <w:jc w:val="both"/>
      </w:pPr>
      <w:r>
        <w:t>Mínimo en forma semanal el auxiliar administrativo de crédito y cartera deberá realizar un reporte del indicador de morosidad.</w:t>
      </w:r>
    </w:p>
    <w:p w14:paraId="6F1F229E">
      <w:pPr>
        <w:pStyle w:val="4"/>
      </w:pPr>
      <w:bookmarkStart w:id="269" w:name="_Toc182642906"/>
      <w:r>
        <w:t>15.1.5 Cartera Judicializada</w:t>
      </w:r>
      <w:bookmarkEnd w:id="269"/>
    </w:p>
    <w:p w14:paraId="187FEFA0">
      <w:pPr>
        <w:jc w:val="both"/>
      </w:pPr>
      <w:r>
        <w:t>Por lo menos una vez al año la Gerencia General deberá presentar un informe de la cartera judicializada, ante el Comité de Riesgos y Consejo de Administración.</w:t>
      </w:r>
    </w:p>
    <w:p w14:paraId="7F189A13">
      <w:pPr>
        <w:pStyle w:val="4"/>
      </w:pPr>
      <w:bookmarkStart w:id="270" w:name="_Toc182642907"/>
      <w:r>
        <w:t>15.1.6 Informe SARC</w:t>
      </w:r>
      <w:bookmarkEnd w:id="270"/>
    </w:p>
    <w:p w14:paraId="6DDBB9A5">
      <w:pPr>
        <w:jc w:val="both"/>
      </w:pPr>
      <w:r>
        <w:t>Igualmente, en forma mensual el responsable de riesgos deberá elaborar un informe de seguimiento que incluya el monitoreo a límites, indicadores de gestión, composición de la cartera, evolución de la cartera, nuevos desembolsos, operaciones de vinculados, partes relacionadas, entre otros.</w:t>
      </w:r>
    </w:p>
    <w:p w14:paraId="216DDAC4">
      <w:pPr>
        <w:pStyle w:val="4"/>
      </w:pPr>
      <w:bookmarkStart w:id="271" w:name="_Toc182642908"/>
      <w:r>
        <w:t>15.1.7 Pruebas de estrés</w:t>
      </w:r>
      <w:bookmarkEnd w:id="271"/>
    </w:p>
    <w:p w14:paraId="0E6E535E">
      <w:pPr>
        <w:jc w:val="both"/>
      </w:pPr>
      <w:r>
        <w:t>El responsable de riesgos deberá evaluar el impacto que tendrá un probable incremento deterioro de la cartera, en las provisiones y en el margen de solvencia, para lo cual establecerá dos escenarios.</w:t>
      </w:r>
    </w:p>
    <w:p w14:paraId="3980FF89">
      <w:pPr>
        <w:jc w:val="both"/>
      </w:pPr>
      <w:r>
        <w:t>•</w:t>
      </w:r>
      <w:r>
        <w:tab/>
      </w:r>
      <w:r>
        <w:t>Escenario No. 1 Deterioro de los 10 principales deudores.</w:t>
      </w:r>
    </w:p>
    <w:p w14:paraId="50F7A93C">
      <w:pPr>
        <w:jc w:val="both"/>
      </w:pPr>
      <w:r>
        <w:t>•</w:t>
      </w:r>
      <w:r>
        <w:tab/>
      </w:r>
      <w:r>
        <w:t>Escenario No. 2 Deterioro de los 20 principales deudores.</w:t>
      </w:r>
    </w:p>
    <w:p w14:paraId="631741AF">
      <w:pPr>
        <w:pStyle w:val="3"/>
      </w:pPr>
      <w:bookmarkStart w:id="272" w:name="_Toc182642909"/>
      <w:r>
        <w:t>Evaluación y calificación de cartera</w:t>
      </w:r>
      <w:bookmarkEnd w:id="272"/>
    </w:p>
    <w:p w14:paraId="1B3CF1D5">
      <w:pPr>
        <w:rPr>
          <w:lang w:val="es-ES" w:eastAsia="es-ES" w:bidi="en-US"/>
        </w:rPr>
      </w:pPr>
    </w:p>
    <w:p w14:paraId="4A079D72">
      <w:pPr>
        <w:pStyle w:val="4"/>
        <w:rPr>
          <w:lang w:bidi="en-US"/>
        </w:rPr>
      </w:pPr>
      <w:bookmarkStart w:id="273" w:name="_Toc182642910"/>
      <w:r>
        <w:rPr>
          <w:lang w:bidi="en-US"/>
        </w:rPr>
        <w:t>15.2.1 Objetivo</w:t>
      </w:r>
      <w:bookmarkEnd w:id="273"/>
    </w:p>
    <w:p w14:paraId="2931F92E">
      <w:pPr>
        <w:jc w:val="both"/>
        <w:rPr>
          <w:lang w:val="es-MX" w:eastAsia="es-CO" w:bidi="en-US"/>
        </w:rPr>
      </w:pPr>
      <w:r>
        <w:rPr>
          <w:lang w:val="es-MX" w:eastAsia="es-CO" w:bidi="en-US"/>
        </w:rPr>
        <w:t>El riesgo de crédito, es la probabilidad de que una entidad Cooperativa incurra en pérdidas y se disminuya el valor de sus activos como consecuencia de que sus deudores incumplan con el pago de sus obligaciones en los términos acordados, así las cosas, el proceso de evaluación de cartera consiste en identificar de manera preventiva el riesgo de los créditos que pueden desmejorarse por el cambio potencial en la capacidad de pago, solvencia o calidad de las garantías que lo respaldan y realizar la respectiva recalificación y registro del deterioro.</w:t>
      </w:r>
    </w:p>
    <w:p w14:paraId="3E607CAC">
      <w:pPr>
        <w:pStyle w:val="4"/>
        <w:rPr>
          <w:lang w:bidi="en-US"/>
        </w:rPr>
      </w:pPr>
      <w:bookmarkStart w:id="274" w:name="_Toc182642911"/>
      <w:r>
        <w:rPr>
          <w:lang w:bidi="en-US"/>
        </w:rPr>
        <w:t>15.2.2 Instancias responsables de la evaluación y calificación de cartera</w:t>
      </w:r>
      <w:bookmarkEnd w:id="274"/>
    </w:p>
    <w:p w14:paraId="32451CD8">
      <w:pPr>
        <w:jc w:val="both"/>
        <w:rPr>
          <w:lang w:val="es-MX" w:eastAsia="es-CO" w:bidi="en-US"/>
        </w:rPr>
      </w:pPr>
      <w:r>
        <w:rPr>
          <w:lang w:val="es-MX" w:eastAsia="es-CO" w:bidi="en-US"/>
        </w:rPr>
        <w:t>Las actividades propias de la Evaluación y Calificación de Cartera deberán ser realizadas por la Gerencia y funcionarios de Crédito y Cartera, y/o mediante los servicios de un tercero con experiencia en el tema.</w:t>
      </w:r>
    </w:p>
    <w:p w14:paraId="021F5978">
      <w:pPr>
        <w:jc w:val="both"/>
        <w:rPr>
          <w:lang w:val="es-MX" w:eastAsia="es-CO" w:bidi="en-US"/>
        </w:rPr>
      </w:pPr>
      <w:r>
        <w:rPr>
          <w:lang w:val="es-MX" w:eastAsia="es-CO" w:bidi="en-US"/>
        </w:rPr>
        <w:t>Los resultados de la Evaluación y Calificación deberán ser puestos a consideración por el Comité de Riesgos, atendiendo las recomendaciones al respecto, y posteriormente serán presentados para aprobación del Consejo de Administración.</w:t>
      </w:r>
    </w:p>
    <w:p w14:paraId="083164A7">
      <w:pPr>
        <w:pStyle w:val="4"/>
        <w:rPr>
          <w:lang w:bidi="en-US"/>
        </w:rPr>
      </w:pPr>
      <w:bookmarkStart w:id="275" w:name="_Toc182642912"/>
      <w:r>
        <w:rPr>
          <w:lang w:bidi="en-US"/>
        </w:rPr>
        <w:t>15.2.3 Criterios de evaluación</w:t>
      </w:r>
      <w:bookmarkEnd w:id="275"/>
      <w:r>
        <w:rPr>
          <w:lang w:bidi="en-US"/>
        </w:rPr>
        <w:t xml:space="preserve"> </w:t>
      </w:r>
    </w:p>
    <w:p w14:paraId="59367FA6">
      <w:pPr>
        <w:jc w:val="both"/>
        <w:rPr>
          <w:lang w:val="es-MX" w:eastAsia="es-CO" w:bidi="en-US"/>
        </w:rPr>
      </w:pPr>
      <w:r>
        <w:rPr>
          <w:lang w:val="es-MX" w:eastAsia="es-CO" w:bidi="en-US"/>
        </w:rPr>
        <w:t>La evaluación de la cartera de créditos se realizará con base en los siguientes criterios, los cuales serán evaluados a través de las variables de la metodología:</w:t>
      </w:r>
    </w:p>
    <w:p w14:paraId="1ACBD74D">
      <w:pPr>
        <w:jc w:val="both"/>
        <w:rPr>
          <w:lang w:val="es-MX" w:eastAsia="es-CO" w:bidi="en-US"/>
        </w:rPr>
      </w:pPr>
      <w:r>
        <w:rPr>
          <w:lang w:val="es-MX" w:eastAsia="es-CO" w:bidi="en-US"/>
        </w:rPr>
        <w:t>•</w:t>
      </w:r>
      <w:r>
        <w:rPr>
          <w:lang w:val="es-MX" w:eastAsia="es-CO" w:bidi="en-US"/>
        </w:rPr>
        <w:tab/>
      </w:r>
      <w:r>
        <w:rPr>
          <w:lang w:val="es-MX" w:eastAsia="es-CO" w:bidi="en-US"/>
        </w:rPr>
        <w:t>Capacidad de pago</w:t>
      </w:r>
    </w:p>
    <w:p w14:paraId="190F7034">
      <w:pPr>
        <w:jc w:val="both"/>
        <w:rPr>
          <w:lang w:val="es-MX" w:eastAsia="es-CO" w:bidi="en-US"/>
        </w:rPr>
      </w:pPr>
      <w:r>
        <w:rPr>
          <w:lang w:val="es-MX" w:eastAsia="es-CO" w:bidi="en-US"/>
        </w:rPr>
        <w:t>•</w:t>
      </w:r>
      <w:r>
        <w:rPr>
          <w:lang w:val="es-MX" w:eastAsia="es-CO" w:bidi="en-US"/>
        </w:rPr>
        <w:tab/>
      </w:r>
      <w:r>
        <w:rPr>
          <w:lang w:val="es-MX" w:eastAsia="es-CO" w:bidi="en-US"/>
        </w:rPr>
        <w:t xml:space="preserve">Solvencia del deudor. </w:t>
      </w:r>
    </w:p>
    <w:p w14:paraId="00503C75">
      <w:pPr>
        <w:jc w:val="both"/>
        <w:rPr>
          <w:lang w:val="es-MX" w:eastAsia="es-CO" w:bidi="en-US"/>
        </w:rPr>
      </w:pPr>
      <w:r>
        <w:rPr>
          <w:lang w:val="es-MX" w:eastAsia="es-CO" w:bidi="en-US"/>
        </w:rPr>
        <w:t>•</w:t>
      </w:r>
      <w:r>
        <w:rPr>
          <w:lang w:val="es-MX" w:eastAsia="es-CO" w:bidi="en-US"/>
        </w:rPr>
        <w:tab/>
      </w:r>
      <w:r>
        <w:rPr>
          <w:lang w:val="es-MX" w:eastAsia="es-CO" w:bidi="en-US"/>
        </w:rPr>
        <w:t xml:space="preserve">Garantías. </w:t>
      </w:r>
    </w:p>
    <w:p w14:paraId="212C0582">
      <w:pPr>
        <w:jc w:val="both"/>
        <w:rPr>
          <w:lang w:val="es-MX" w:eastAsia="es-CO" w:bidi="en-US"/>
        </w:rPr>
      </w:pPr>
      <w:r>
        <w:rPr>
          <w:lang w:val="es-MX" w:eastAsia="es-CO" w:bidi="en-US"/>
        </w:rPr>
        <w:t>•</w:t>
      </w:r>
      <w:r>
        <w:rPr>
          <w:lang w:val="es-MX" w:eastAsia="es-CO" w:bidi="en-US"/>
        </w:rPr>
        <w:tab/>
      </w:r>
      <w:r>
        <w:rPr>
          <w:lang w:val="es-MX" w:eastAsia="es-CO" w:bidi="en-US"/>
        </w:rPr>
        <w:t xml:space="preserve">Servicio de la deuda. </w:t>
      </w:r>
    </w:p>
    <w:p w14:paraId="30DC1E20">
      <w:pPr>
        <w:jc w:val="both"/>
        <w:rPr>
          <w:lang w:val="es-MX" w:eastAsia="es-CO" w:bidi="en-US"/>
        </w:rPr>
      </w:pPr>
      <w:r>
        <w:rPr>
          <w:lang w:val="es-MX" w:eastAsia="es-CO" w:bidi="en-US"/>
        </w:rPr>
        <w:t>•</w:t>
      </w:r>
      <w:r>
        <w:rPr>
          <w:lang w:val="es-MX" w:eastAsia="es-CO" w:bidi="en-US"/>
        </w:rPr>
        <w:tab/>
      </w:r>
      <w:r>
        <w:rPr>
          <w:lang w:val="es-MX" w:eastAsia="es-CO" w:bidi="en-US"/>
        </w:rPr>
        <w:t>Normalizaciones y Reestructuraciones:</w:t>
      </w:r>
    </w:p>
    <w:p w14:paraId="4F780BFB">
      <w:pPr>
        <w:jc w:val="both"/>
        <w:rPr>
          <w:lang w:val="es-MX" w:eastAsia="es-CO" w:bidi="en-US"/>
        </w:rPr>
      </w:pPr>
      <w:r>
        <w:rPr>
          <w:lang w:val="es-MX" w:eastAsia="es-CO" w:bidi="en-US"/>
        </w:rPr>
        <w:t>•</w:t>
      </w:r>
      <w:r>
        <w:rPr>
          <w:lang w:val="es-MX" w:eastAsia="es-CO" w:bidi="en-US"/>
        </w:rPr>
        <w:tab/>
      </w:r>
      <w:r>
        <w:rPr>
          <w:lang w:val="es-MX" w:eastAsia="es-CO" w:bidi="en-US"/>
        </w:rPr>
        <w:t xml:space="preserve">Consulta proveniente de centrales de riesgo </w:t>
      </w:r>
    </w:p>
    <w:p w14:paraId="2CEA3256">
      <w:pPr>
        <w:jc w:val="both"/>
        <w:rPr>
          <w:lang w:val="es-MX" w:eastAsia="es-CO" w:bidi="en-US"/>
        </w:rPr>
      </w:pPr>
      <w:r>
        <w:rPr>
          <w:lang w:val="es-MX" w:eastAsia="es-CO" w:bidi="en-US"/>
        </w:rPr>
        <w:t>En general se deben evaluar, entre otros aspectos, el comportamiento histórico del deudor en la cooperativa, el comportamiento crediticio del asociado en otras entidades, la información financiera de este, e información alternativa que permita un acercamiento al momento económico de los deudores.</w:t>
      </w:r>
    </w:p>
    <w:p w14:paraId="31790157">
      <w:pPr>
        <w:pStyle w:val="4"/>
        <w:rPr>
          <w:lang w:bidi="en-US"/>
        </w:rPr>
      </w:pPr>
      <w:bookmarkStart w:id="276" w:name="_Toc182642913"/>
      <w:r>
        <w:rPr>
          <w:lang w:bidi="en-US"/>
        </w:rPr>
        <w:t>15.2.4 Periodicidad de la evaluación</w:t>
      </w:r>
      <w:bookmarkEnd w:id="276"/>
      <w:r>
        <w:rPr>
          <w:lang w:bidi="en-US"/>
        </w:rPr>
        <w:t xml:space="preserve"> </w:t>
      </w:r>
    </w:p>
    <w:p w14:paraId="320D9603">
      <w:pPr>
        <w:jc w:val="both"/>
        <w:rPr>
          <w:lang w:val="es-MX" w:eastAsia="es-CO" w:bidi="en-US"/>
        </w:rPr>
      </w:pPr>
      <w:r>
        <w:rPr>
          <w:lang w:val="es-MX" w:eastAsia="es-CO" w:bidi="en-US"/>
        </w:rPr>
        <w:t>COOPCALLEJONA LTDA., deberá evaluar el riesgo de cartera de crédito, según la metodología diseñada.</w:t>
      </w:r>
    </w:p>
    <w:p w14:paraId="22718F47">
      <w:pPr>
        <w:jc w:val="both"/>
        <w:rPr>
          <w:lang w:val="es-MX" w:eastAsia="es-CO" w:bidi="en-US"/>
        </w:rPr>
      </w:pPr>
      <w:r>
        <w:rPr>
          <w:lang w:val="es-MX" w:eastAsia="es-CO" w:bidi="en-US"/>
        </w:rPr>
        <w:t xml:space="preserve">La evaluación de cartera se deberá realizar como mínimo en forma semestral, al corte de los meses de mayo y noviembre y reflejar los resultados al corte de los meses de junio y diciembre de cada año. En tanto la entidad no aplique el modelo para el cálculo de la pérdida esperada, señaladas en el ámbito de aplicación del Capítulo II Título IV de la CBCF, deberá realizar el proceso una vez al año. </w:t>
      </w:r>
    </w:p>
    <w:p w14:paraId="00DE1534">
      <w:pPr>
        <w:jc w:val="both"/>
        <w:rPr>
          <w:lang w:val="es-MX" w:eastAsia="es-CO" w:bidi="en-US"/>
        </w:rPr>
      </w:pPr>
      <w:r>
        <w:rPr>
          <w:lang w:val="es-MX" w:eastAsia="es-CO" w:bidi="en-US"/>
        </w:rPr>
        <w:t>Es importante anotar que de acuerdo con lo establecido por la SES: “Las organizaciones solidarias que ejercen la actividad financiera sometidas a cualquier medida cautelar, deberán efectuar la evaluación total de la cartera de créditos al inicio de la medida”</w:t>
      </w:r>
    </w:p>
    <w:p w14:paraId="0A13A68F">
      <w:pPr>
        <w:jc w:val="both"/>
        <w:rPr>
          <w:lang w:val="es-MX" w:eastAsia="es-CO" w:bidi="en-US"/>
        </w:rPr>
      </w:pPr>
      <w:r>
        <w:rPr>
          <w:lang w:val="es-MX" w:eastAsia="es-CO" w:bidi="en-US"/>
        </w:rPr>
        <w:t>Teniendo en cuenta la normatividad actual la evaluación anual se realizará con corte a noviembre.</w:t>
      </w:r>
    </w:p>
    <w:p w14:paraId="01334F39">
      <w:pPr>
        <w:pStyle w:val="4"/>
        <w:rPr>
          <w:lang w:bidi="en-US"/>
        </w:rPr>
      </w:pPr>
      <w:bookmarkStart w:id="277" w:name="_Toc182642914"/>
      <w:r>
        <w:rPr>
          <w:lang w:bidi="en-US"/>
        </w:rPr>
        <w:t>15.2.5 Contabilización y soporte de la evaluación</w:t>
      </w:r>
      <w:bookmarkEnd w:id="277"/>
      <w:r>
        <w:rPr>
          <w:lang w:bidi="en-US"/>
        </w:rPr>
        <w:t xml:space="preserve"> </w:t>
      </w:r>
    </w:p>
    <w:p w14:paraId="576058A7">
      <w:pPr>
        <w:jc w:val="both"/>
        <w:rPr>
          <w:lang w:val="es-MX" w:eastAsia="es-CO" w:bidi="en-US"/>
        </w:rPr>
      </w:pPr>
      <w:r>
        <w:rPr>
          <w:lang w:val="es-MX" w:eastAsia="es-CO" w:bidi="en-US"/>
        </w:rPr>
        <w:t xml:space="preserve">Una vez aprobados los resultados de la evaluación por parte del Consejo de Administración, el mismo deberá reflejarse en los estados financieros del mes siguiente, con el respectivo cambio de categoría, si hubo lugar a ella, y aplicación de las provisiones de acuerdo con los porcentajes establecidos por la norma. </w:t>
      </w:r>
    </w:p>
    <w:p w14:paraId="668C5063">
      <w:pPr>
        <w:jc w:val="both"/>
        <w:rPr>
          <w:lang w:val="es-MX" w:eastAsia="es-CO" w:bidi="en-US"/>
        </w:rPr>
      </w:pPr>
      <w:r>
        <w:rPr>
          <w:lang w:val="es-MX" w:eastAsia="es-CO" w:bidi="en-US"/>
        </w:rPr>
        <w:t>En la carpeta del asociado deberá quedar el soporte de las condiciones que llevaron a efectuar la recalificación, dejando constancia además de la fecha de la evaluación, número del acta, instancia y demás datos de la aprobación de la respectiva recalificación.</w:t>
      </w:r>
    </w:p>
    <w:p w14:paraId="6AD7C966">
      <w:pPr>
        <w:pStyle w:val="4"/>
        <w:rPr>
          <w:lang w:bidi="en-US"/>
        </w:rPr>
      </w:pPr>
      <w:bookmarkStart w:id="278" w:name="_Toc182642915"/>
      <w:r>
        <w:rPr>
          <w:lang w:bidi="en-US"/>
        </w:rPr>
        <w:t>15.2.6 Permanencia de la recalificación</w:t>
      </w:r>
      <w:bookmarkEnd w:id="278"/>
      <w:r>
        <w:rPr>
          <w:lang w:bidi="en-US"/>
        </w:rPr>
        <w:t xml:space="preserve"> </w:t>
      </w:r>
    </w:p>
    <w:p w14:paraId="27DE7608">
      <w:pPr>
        <w:jc w:val="both"/>
        <w:rPr>
          <w:lang w:val="es-MX" w:eastAsia="es-CO" w:bidi="en-US"/>
        </w:rPr>
      </w:pPr>
      <w:r>
        <w:rPr>
          <w:lang w:val="es-MX" w:eastAsia="es-CO" w:bidi="en-US"/>
        </w:rPr>
        <w:t>Los resultados de la evaluación de cartera en materia de recalificación de créditos aprobada por el consejo de administración, deberá permanecer hasta el próximo proceso de evaluación de cartera, o se podrá modificar antes si existe evidencia de un cambio en el nivel de riesgo que amerite su recalificación, teniendo en cuenta que la morosidad no podrá ser el único factor para considerar.</w:t>
      </w:r>
    </w:p>
    <w:p w14:paraId="7ED6F55F">
      <w:pPr>
        <w:pStyle w:val="4"/>
        <w:rPr>
          <w:lang w:bidi="en-US"/>
        </w:rPr>
      </w:pPr>
      <w:bookmarkStart w:id="279" w:name="_Toc182642916"/>
      <w:r>
        <w:rPr>
          <w:lang w:bidi="en-US"/>
        </w:rPr>
        <w:t>15.2.7 Comunicación al asociado</w:t>
      </w:r>
      <w:bookmarkEnd w:id="279"/>
    </w:p>
    <w:p w14:paraId="564188F6">
      <w:pPr>
        <w:jc w:val="both"/>
        <w:rPr>
          <w:lang w:val="es-MX" w:eastAsia="es-CO" w:bidi="en-US"/>
        </w:rPr>
      </w:pPr>
      <w:r>
        <w:rPr>
          <w:lang w:val="es-MX" w:eastAsia="es-CO" w:bidi="en-US"/>
        </w:rPr>
        <w:t>Se deberá efectuar el envío de una comunicación formal a los deudores recalificados según los términos de la ley habeas data.</w:t>
      </w:r>
    </w:p>
    <w:p w14:paraId="2B303B02">
      <w:pPr>
        <w:jc w:val="both"/>
        <w:rPr>
          <w:lang w:val="es-MX" w:eastAsia="es-CO" w:bidi="en-US"/>
        </w:rPr>
      </w:pPr>
    </w:p>
    <w:p w14:paraId="22E9C6BA">
      <w:pPr>
        <w:jc w:val="both"/>
        <w:rPr>
          <w:lang w:val="es-MX" w:eastAsia="es-CO" w:bidi="en-US"/>
        </w:rPr>
      </w:pPr>
      <w:r>
        <w:rPr>
          <w:lang w:val="es-MX" w:eastAsia="es-CO" w:bidi="en-US"/>
        </w:rPr>
        <w:t>Cualquier novedad del asociado frente a la comunicación remitida a los mismos, o aclaración de estos frente a la recalificación será analizada por la Gerencia a efectos de coordinar los ajustes a que haya lugar, los cuales serán informados en el siguiente Comité de Riesgos y sujetos a aprobación del Consejo de Administración.</w:t>
      </w:r>
    </w:p>
    <w:p w14:paraId="536439DD">
      <w:pPr>
        <w:pStyle w:val="4"/>
        <w:rPr>
          <w:lang w:bidi="en-US"/>
        </w:rPr>
      </w:pPr>
      <w:bookmarkStart w:id="280" w:name="_Toc182642917"/>
      <w:r>
        <w:rPr>
          <w:lang w:bidi="en-US"/>
        </w:rPr>
        <w:t>15.2.8 Recalificaciones de Reestructuraciones</w:t>
      </w:r>
      <w:bookmarkEnd w:id="280"/>
    </w:p>
    <w:p w14:paraId="29FD29DB">
      <w:pPr>
        <w:jc w:val="both"/>
        <w:rPr>
          <w:lang w:val="es-MX" w:eastAsia="es-CO" w:bidi="en-US"/>
        </w:rPr>
      </w:pPr>
      <w:r>
        <w:rPr>
          <w:lang w:val="es-MX" w:eastAsia="es-CO" w:bidi="en-US"/>
        </w:rPr>
        <w:t>La calificación de un crédito reestructurado en el momento de reestructurarse deberá realizarse de acuerdo a las normas establecidas, igualmente cuando al cierre de mes el reestructurado entre en mora; Cuando se trate del proceso de evaluación y calificación se podrá evaluar el comportamiento de pago del asociado a efectos de verificar si se realiza o no una mejora en la categoría, la mejora en la calificación de los créditos reestructurados se efectuará de manera gradual, según las normas establecidas en las políticas de cartera.</w:t>
      </w:r>
    </w:p>
    <w:p w14:paraId="00EB9138">
      <w:pPr>
        <w:pStyle w:val="4"/>
        <w:rPr>
          <w:lang w:bidi="en-US"/>
        </w:rPr>
      </w:pPr>
      <w:bookmarkStart w:id="281" w:name="_Toc182642918"/>
      <w:r>
        <w:rPr>
          <w:lang w:bidi="en-US"/>
        </w:rPr>
        <w:t>15.2.9 Procedimiento para realizar la evaluación</w:t>
      </w:r>
      <w:bookmarkEnd w:id="281"/>
      <w:r>
        <w:rPr>
          <w:lang w:bidi="en-US"/>
        </w:rPr>
        <w:t xml:space="preserve"> </w:t>
      </w:r>
    </w:p>
    <w:p w14:paraId="019A07CA">
      <w:pPr>
        <w:jc w:val="both"/>
        <w:rPr>
          <w:lang w:val="es-MX" w:eastAsia="es-CO" w:bidi="en-US"/>
        </w:rPr>
      </w:pPr>
      <w:r>
        <w:rPr>
          <w:lang w:val="es-MX" w:eastAsia="es-CO" w:bidi="en-US"/>
        </w:rPr>
        <w:t>Se debe llevar a cabo tener el siguiente procedimiento:</w:t>
      </w:r>
    </w:p>
    <w:p w14:paraId="0D2976E6">
      <w:pPr>
        <w:jc w:val="both"/>
        <w:rPr>
          <w:lang w:val="es-MX" w:eastAsia="es-CO" w:bidi="en-US"/>
        </w:rPr>
      </w:pPr>
      <w:r>
        <w:rPr>
          <w:lang w:val="es-MX" w:eastAsia="es-CO" w:bidi="en-US"/>
        </w:rPr>
        <w:t>1.Ubicar los números de pagares que se encuentran vigentes al corte de evaluación, de acuerdo con lo dispuesto en el presente acuerdo.</w:t>
      </w:r>
    </w:p>
    <w:p w14:paraId="0AC316F9">
      <w:pPr>
        <w:jc w:val="both"/>
        <w:rPr>
          <w:lang w:val="es-MX" w:eastAsia="es-CO" w:bidi="en-US"/>
        </w:rPr>
      </w:pPr>
      <w:r>
        <w:rPr>
          <w:lang w:val="es-MX" w:eastAsia="es-CO" w:bidi="en-US"/>
        </w:rPr>
        <w:t>2. Revisar el folder de garantías.  En el caso que el crédito este respaldado con garantía admisible (hipoteca o pignoración), se debe revisar: pólizas de seguros que estén actualizadas (todo riesgo), verificar el avalúo comercial, tener certificado de tradición y libertad con fecha de expedición no superior a noventa días (90) días. Verificando que en los certificados no existan anotaciones adversas</w:t>
      </w:r>
    </w:p>
    <w:p w14:paraId="7954FD06">
      <w:pPr>
        <w:jc w:val="both"/>
        <w:rPr>
          <w:lang w:val="es-MX" w:eastAsia="es-CO" w:bidi="en-US"/>
        </w:rPr>
      </w:pPr>
      <w:r>
        <w:rPr>
          <w:lang w:val="es-MX" w:eastAsia="es-CO" w:bidi="en-US"/>
        </w:rPr>
        <w:t xml:space="preserve">3.Solicitar la actualización de los datos de deudor de los créditos seleccionados para la evaluación. </w:t>
      </w:r>
    </w:p>
    <w:p w14:paraId="4C7BB7F7">
      <w:pPr>
        <w:jc w:val="both"/>
        <w:rPr>
          <w:lang w:val="es-MX" w:eastAsia="es-CO" w:bidi="en-US"/>
        </w:rPr>
      </w:pPr>
      <w:r>
        <w:rPr>
          <w:lang w:val="es-MX" w:eastAsia="es-CO" w:bidi="en-US"/>
        </w:rPr>
        <w:t>4.Al menos 15 días antes del mes de corte de la evaluación, se deberá solicitar información proveniente de las centrales de riesgo, con el fin de verificar el comportamiento crediticio del asociado.</w:t>
      </w:r>
    </w:p>
    <w:p w14:paraId="5253C7CB">
      <w:pPr>
        <w:jc w:val="both"/>
        <w:rPr>
          <w:lang w:val="es-MX" w:eastAsia="es-CO" w:bidi="en-US"/>
        </w:rPr>
      </w:pPr>
      <w:r>
        <w:rPr>
          <w:lang w:val="es-MX" w:eastAsia="es-CO" w:bidi="en-US"/>
        </w:rPr>
        <w:t>5.Verificar el hábito de pago de los últimos 12 meses con la entidad como con otros sectores de la economía, aspecto que se analiza con el reporte de las centrales de riesgo.</w:t>
      </w:r>
    </w:p>
    <w:p w14:paraId="4019E902">
      <w:pPr>
        <w:jc w:val="both"/>
        <w:rPr>
          <w:lang w:val="es-MX" w:eastAsia="es-CO" w:bidi="en-US"/>
        </w:rPr>
      </w:pPr>
      <w:r>
        <w:rPr>
          <w:lang w:val="es-MX" w:eastAsia="es-CO" w:bidi="en-US"/>
        </w:rPr>
        <w:t>El detalle del manejo operativo constara en el documento elaborado para tal fin.</w:t>
      </w:r>
    </w:p>
    <w:p w14:paraId="374C975B">
      <w:pPr>
        <w:jc w:val="both"/>
        <w:rPr>
          <w:lang w:val="es-MX" w:eastAsia="es-CO" w:bidi="en-US"/>
        </w:rPr>
      </w:pPr>
    </w:p>
    <w:p w14:paraId="28C2E880">
      <w:pPr>
        <w:jc w:val="both"/>
        <w:rPr>
          <w:lang w:val="es-MX" w:eastAsia="es-CO" w:bidi="en-US"/>
        </w:rPr>
      </w:pPr>
    </w:p>
    <w:p w14:paraId="3343020A">
      <w:pPr>
        <w:pStyle w:val="2"/>
        <w:rPr>
          <w:lang w:val="es-MX" w:eastAsia="es-CO" w:bidi="en-US"/>
        </w:rPr>
      </w:pPr>
      <w:bookmarkStart w:id="282" w:name="_Toc182642919"/>
      <w:r>
        <w:rPr>
          <w:lang w:val="es-MX" w:eastAsia="es-CO" w:bidi="en-US"/>
        </w:rPr>
        <w:t>DETERIORO</w:t>
      </w:r>
      <w:bookmarkEnd w:id="282"/>
    </w:p>
    <w:p w14:paraId="2E92709F">
      <w:pPr>
        <w:jc w:val="both"/>
        <w:rPr>
          <w:lang w:val="es-MX" w:eastAsia="es-CO" w:bidi="en-US"/>
        </w:rPr>
      </w:pPr>
      <w:r>
        <w:rPr>
          <w:lang w:val="es-MX" w:eastAsia="es-CO" w:bidi="en-US"/>
        </w:rPr>
        <w:t>Las provisiones constituyen apropiaciones destinadas a proteger el patrimonio frente a pérdidas contingentes, afectando negativamente el Estado de Excedentes y Pérdidas.  Para COOPCALLEJONA, las provisiones sobre cartera son una prevención que se toma con el fin de cubrir eventuales pérdidas de créditos.</w:t>
      </w:r>
    </w:p>
    <w:p w14:paraId="42F7440D">
      <w:pPr>
        <w:jc w:val="both"/>
        <w:rPr>
          <w:lang w:val="es-MX" w:eastAsia="es-CO" w:bidi="en-US"/>
        </w:rPr>
      </w:pPr>
      <w:r>
        <w:rPr>
          <w:lang w:val="es-MX" w:eastAsia="es-CO" w:bidi="en-US"/>
        </w:rPr>
        <w:t>También se puede afirmar que las provisiones son la protección del mayor valor del activo de la institución.</w:t>
      </w:r>
    </w:p>
    <w:p w14:paraId="22FA91B9">
      <w:pPr>
        <w:jc w:val="both"/>
        <w:rPr>
          <w:lang w:val="es-MX" w:eastAsia="es-CO" w:bidi="en-US"/>
        </w:rPr>
      </w:pPr>
      <w:r>
        <w:rPr>
          <w:lang w:val="es-MX" w:eastAsia="es-CO" w:bidi="en-US"/>
        </w:rPr>
        <w:t>La provisión se formaliza como tal, en el momento en que la totalidad o una parte de los créditos se contabilice afectando el gasto, por lo cual es muy importante la adecuada colocación de los recursos de nuestros Asociados.</w:t>
      </w:r>
    </w:p>
    <w:p w14:paraId="1AC4D757">
      <w:pPr>
        <w:jc w:val="both"/>
        <w:rPr>
          <w:lang w:val="es-MX" w:eastAsia="es-CO" w:bidi="en-US"/>
        </w:rPr>
      </w:pPr>
      <w:r>
        <w:rPr>
          <w:lang w:val="es-MX" w:eastAsia="es-CO" w:bidi="en-US"/>
        </w:rPr>
        <w:t>Sin embargo, la contabilización de la provisión no implica la pérdida definitiva de la obligación. Puede presentarse el recaudo del crédito provisionado, lo que significaría la disminución del gasto o un incremento de los ingresos (recuperación), dependiendo del período contable en el cual se haya efectuado dicha provisión.</w:t>
      </w:r>
    </w:p>
    <w:p w14:paraId="44F7201D">
      <w:pPr>
        <w:pStyle w:val="3"/>
      </w:pPr>
      <w:bookmarkStart w:id="283" w:name="_Toc182642920"/>
      <w:r>
        <w:t>Deterioro General</w:t>
      </w:r>
      <w:bookmarkEnd w:id="283"/>
    </w:p>
    <w:p w14:paraId="32D2F220">
      <w:pPr>
        <w:jc w:val="both"/>
        <w:rPr>
          <w:lang w:val="es-ES" w:eastAsia="es-ES" w:bidi="en-US"/>
        </w:rPr>
      </w:pPr>
      <w:r>
        <w:rPr>
          <w:lang w:val="es-ES" w:eastAsia="es-ES" w:bidi="en-US"/>
        </w:rPr>
        <w:t>COOPCALLEJONA deberá constituir como mínimo una provisión general del uno por ciento (1%) sobre el total de la cartera de créditos bruta.</w:t>
      </w:r>
    </w:p>
    <w:p w14:paraId="41D9886F">
      <w:pPr>
        <w:jc w:val="both"/>
        <w:rPr>
          <w:lang w:val="es-ES" w:eastAsia="es-ES" w:bidi="en-US"/>
        </w:rPr>
      </w:pPr>
      <w:r>
        <w:rPr>
          <w:lang w:val="es-ES" w:eastAsia="es-ES" w:bidi="en-US"/>
        </w:rPr>
        <w:t>COOPCALLEJONA podrá optar por constituir una reserva, con cargo a los excedentes cooperativos, creada por la asamblea general únicamente para este propósito, esto es, para la protección de la cartera de créditos.  Se deberá constituir como mínimo una provisión general del uno por ciento (1%) y hasta el cinco por ciento (5%) sobre el total de la cartera de créditos bruta, en concordancia con la circular básica contable y financiera 004 emitida por la Superintendencia de Economía Solidaria.</w:t>
      </w:r>
    </w:p>
    <w:p w14:paraId="1FD592F3">
      <w:pPr>
        <w:pStyle w:val="3"/>
      </w:pPr>
      <w:bookmarkStart w:id="284" w:name="_Toc182642921"/>
      <w:r>
        <w:t>Deterioro Individual</w:t>
      </w:r>
      <w:bookmarkEnd w:id="284"/>
    </w:p>
    <w:p w14:paraId="044810ED">
      <w:pPr>
        <w:jc w:val="both"/>
        <w:rPr>
          <w:lang w:val="es-ES" w:eastAsia="es-ES" w:bidi="en-US"/>
        </w:rPr>
      </w:pPr>
      <w:r>
        <w:rPr>
          <w:lang w:val="es-ES" w:eastAsia="es-ES" w:bidi="en-US"/>
        </w:rPr>
        <w:t>Sin perjuicio de la provisión general a que se refiere el numeral anterior, COOPCALLEJONA LTDA deberá mantener en todo tiempo una provisión individual para la protección de sus créditos calificados en categorías de riesgo (B, C, D, E) no inferior a los porcentajes siguientes:</w:t>
      </w:r>
    </w:p>
    <w:p w14:paraId="3B6317E0">
      <w:pPr>
        <w:jc w:val="center"/>
        <w:rPr>
          <w:lang w:val="es-ES" w:eastAsia="es-ES" w:bidi="en-US"/>
        </w:rPr>
      </w:pPr>
      <w:r>
        <w:drawing>
          <wp:inline distT="0" distB="0" distL="0" distR="0">
            <wp:extent cx="3152775" cy="1647825"/>
            <wp:effectExtent l="0" t="0" r="9525" b="9525"/>
            <wp:docPr id="180979619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796195"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152775" cy="1647825"/>
                    </a:xfrm>
                    <a:prstGeom prst="rect">
                      <a:avLst/>
                    </a:prstGeom>
                    <a:noFill/>
                    <a:ln>
                      <a:noFill/>
                    </a:ln>
                  </pic:spPr>
                </pic:pic>
              </a:graphicData>
            </a:graphic>
          </wp:inline>
        </w:drawing>
      </w:r>
    </w:p>
    <w:p w14:paraId="6A080567">
      <w:pPr>
        <w:jc w:val="both"/>
        <w:rPr>
          <w:lang w:val="es-ES" w:eastAsia="es-ES" w:bidi="en-US"/>
        </w:rPr>
      </w:pPr>
      <w:r>
        <w:rPr>
          <w:lang w:val="es-ES" w:eastAsia="es-ES" w:bidi="en-US"/>
        </w:rPr>
        <w:t>Para el reconocimiento del deterioro individual de los créditos, en todas las modalidades de cartera, con o sin modelo de referencia, el valor de los aportes sociales se podrá restar del valor expuesto del activo hasta en un 100%, siempre y cuando, COOPCALLEJONA no registre pérdidas acumuladas en el ejercicio anterior y/o en el ejercicio en curso durante 3 meses consecutivos entre abril y diciembre o que estás perdidas estén cubiertas con reservas y fondos patrimoniales, de lo contrario no se podrán considerar para el cálculo.</w:t>
      </w:r>
    </w:p>
    <w:p w14:paraId="5D0646A7">
      <w:pPr>
        <w:jc w:val="both"/>
        <w:rPr>
          <w:lang w:val="es-ES" w:eastAsia="es-ES" w:bidi="en-US"/>
        </w:rPr>
      </w:pPr>
    </w:p>
    <w:p w14:paraId="00B7351F">
      <w:pPr>
        <w:jc w:val="both"/>
        <w:rPr>
          <w:lang w:val="es-ES" w:eastAsia="es-ES" w:bidi="en-US"/>
        </w:rPr>
      </w:pPr>
    </w:p>
    <w:p w14:paraId="60463BEB">
      <w:pPr>
        <w:jc w:val="both"/>
        <w:rPr>
          <w:lang w:val="es-ES" w:eastAsia="es-ES" w:bidi="en-US"/>
        </w:rPr>
      </w:pPr>
    </w:p>
    <w:p w14:paraId="1646DC6D">
      <w:pPr>
        <w:jc w:val="both"/>
        <w:rPr>
          <w:lang w:val="es-ES" w:eastAsia="es-ES" w:bidi="en-US"/>
        </w:rPr>
      </w:pPr>
    </w:p>
    <w:p w14:paraId="3668326C">
      <w:pPr>
        <w:jc w:val="both"/>
        <w:rPr>
          <w:lang w:val="es-ES" w:eastAsia="es-ES" w:bidi="en-US"/>
        </w:rPr>
      </w:pPr>
    </w:p>
    <w:p w14:paraId="33CE328E">
      <w:pPr>
        <w:jc w:val="both"/>
        <w:rPr>
          <w:lang w:val="es-ES" w:eastAsia="es-ES" w:bidi="en-US"/>
        </w:rPr>
      </w:pPr>
    </w:p>
    <w:p w14:paraId="39A92F44">
      <w:pPr>
        <w:jc w:val="both"/>
        <w:rPr>
          <w:lang w:val="es-ES" w:eastAsia="es-ES" w:bidi="en-US"/>
        </w:rPr>
      </w:pPr>
    </w:p>
    <w:p w14:paraId="1CC18C74">
      <w:pPr>
        <w:jc w:val="both"/>
        <w:rPr>
          <w:lang w:val="es-ES" w:eastAsia="es-ES" w:bidi="en-US"/>
        </w:rPr>
      </w:pPr>
    </w:p>
    <w:p w14:paraId="5CB8FB92">
      <w:pPr>
        <w:jc w:val="both"/>
        <w:rPr>
          <w:lang w:val="es-ES" w:eastAsia="es-ES" w:bidi="en-US"/>
        </w:rPr>
      </w:pPr>
    </w:p>
    <w:p w14:paraId="4601DFB9">
      <w:pPr>
        <w:jc w:val="both"/>
        <w:rPr>
          <w:lang w:val="es-ES" w:eastAsia="es-ES" w:bidi="en-US"/>
        </w:rPr>
      </w:pPr>
    </w:p>
    <w:p w14:paraId="39ECAE32">
      <w:pPr>
        <w:jc w:val="both"/>
        <w:rPr>
          <w:lang w:val="es-ES" w:eastAsia="es-ES" w:bidi="en-US"/>
        </w:rPr>
      </w:pPr>
    </w:p>
    <w:p w14:paraId="7CE30F87">
      <w:pPr>
        <w:jc w:val="both"/>
        <w:rPr>
          <w:lang w:val="es-ES" w:eastAsia="es-ES" w:bidi="en-US"/>
        </w:rPr>
      </w:pPr>
    </w:p>
    <w:p w14:paraId="452DA541">
      <w:pPr>
        <w:jc w:val="both"/>
        <w:rPr>
          <w:lang w:val="es-ES" w:eastAsia="es-ES" w:bidi="en-US"/>
        </w:rPr>
      </w:pPr>
    </w:p>
    <w:p w14:paraId="6A144AF1">
      <w:pPr>
        <w:jc w:val="both"/>
        <w:rPr>
          <w:lang w:val="es-ES" w:eastAsia="es-ES" w:bidi="en-US"/>
        </w:rPr>
      </w:pPr>
    </w:p>
    <w:p w14:paraId="3E52F525">
      <w:pPr>
        <w:pStyle w:val="2"/>
        <w:rPr>
          <w:lang w:val="es-ES" w:eastAsia="es-ES" w:bidi="en-US"/>
        </w:rPr>
      </w:pPr>
      <w:bookmarkStart w:id="285" w:name="_Toc182642922"/>
      <w:r>
        <w:rPr>
          <w:lang w:val="es-ES" w:eastAsia="es-ES" w:bidi="en-US"/>
        </w:rPr>
        <w:t>INFRAESTRUCTURA TECNOLOGICA</w:t>
      </w:r>
      <w:bookmarkEnd w:id="285"/>
    </w:p>
    <w:p w14:paraId="5390290C">
      <w:pPr>
        <w:jc w:val="both"/>
        <w:rPr>
          <w:lang w:val="es-ES" w:eastAsia="es-ES" w:bidi="en-US"/>
        </w:rPr>
      </w:pPr>
      <w:r>
        <w:rPr>
          <w:lang w:val="es-ES" w:eastAsia="es-ES" w:bidi="en-US"/>
        </w:rPr>
        <w:t>Las actividades de crédito y cartera son realizadas por el aplicativo de la entidad (Visionamos). La plataforma cuenta con:</w:t>
      </w:r>
    </w:p>
    <w:p w14:paraId="5C839949">
      <w:pPr>
        <w:jc w:val="both"/>
        <w:rPr>
          <w:lang w:val="es-ES" w:eastAsia="es-ES" w:bidi="en-US"/>
        </w:rPr>
      </w:pPr>
      <w:r>
        <w:rPr>
          <w:lang w:val="es-ES" w:eastAsia="es-ES" w:bidi="en-US"/>
        </w:rPr>
        <w:t>Módulo de caja</w:t>
      </w:r>
    </w:p>
    <w:p w14:paraId="3F9C5CE3">
      <w:pPr>
        <w:jc w:val="both"/>
        <w:rPr>
          <w:lang w:val="es-ES" w:eastAsia="es-ES" w:bidi="en-US"/>
        </w:rPr>
      </w:pPr>
      <w:r>
        <w:rPr>
          <w:lang w:val="es-ES" w:eastAsia="es-ES" w:bidi="en-US"/>
        </w:rPr>
        <w:t>Módulo de crédito</w:t>
      </w:r>
    </w:p>
    <w:p w14:paraId="6CA4425C">
      <w:pPr>
        <w:jc w:val="both"/>
        <w:rPr>
          <w:lang w:val="es-ES" w:eastAsia="es-ES" w:bidi="en-US"/>
        </w:rPr>
      </w:pPr>
      <w:r>
        <w:rPr>
          <w:lang w:val="es-ES" w:eastAsia="es-ES" w:bidi="en-US"/>
        </w:rPr>
        <w:t>Módulo de cartera</w:t>
      </w:r>
    </w:p>
    <w:p w14:paraId="3AB8A1B5">
      <w:pPr>
        <w:jc w:val="both"/>
        <w:rPr>
          <w:lang w:val="es-ES" w:eastAsia="es-ES" w:bidi="en-US"/>
        </w:rPr>
      </w:pPr>
      <w:r>
        <w:rPr>
          <w:lang w:val="es-ES" w:eastAsia="es-ES" w:bidi="en-US"/>
        </w:rPr>
        <w:t>Así mismo, todas las operaciones alimentan el módulo contable.</w:t>
      </w:r>
    </w:p>
    <w:p w14:paraId="582069B4">
      <w:pPr>
        <w:jc w:val="both"/>
        <w:rPr>
          <w:lang w:val="es-ES" w:eastAsia="es-ES" w:bidi="en-US"/>
        </w:rPr>
      </w:pPr>
      <w:r>
        <w:rPr>
          <w:lang w:val="es-ES" w:eastAsia="es-ES" w:bidi="en-US"/>
        </w:rPr>
        <w:t>El aplicativo cuenta con la posibilidad de crear y asignar perfiles de acuerdo a las actividades requeridas a cada cargo. Igualmente cuenta con políticas de seguridad generales las cuales son directrices mandatorias para la entidad.</w:t>
      </w:r>
    </w:p>
    <w:p w14:paraId="6A9E3F0F">
      <w:pPr>
        <w:jc w:val="both"/>
        <w:rPr>
          <w:lang w:val="es-ES" w:eastAsia="es-ES" w:bidi="en-US"/>
        </w:rPr>
      </w:pPr>
      <w:r>
        <w:rPr>
          <w:lang w:val="es-ES" w:eastAsia="es-ES" w:bidi="en-US"/>
        </w:rPr>
        <w:t xml:space="preserve">Para los procesos e informes realizados en el responsable de riesgos se utilizan hojas electrónicas y herramientas realizadas en Excel. </w:t>
      </w:r>
    </w:p>
    <w:p w14:paraId="570FFAC5">
      <w:pPr>
        <w:jc w:val="both"/>
        <w:rPr>
          <w:lang w:val="es-ES" w:eastAsia="es-ES" w:bidi="en-US"/>
        </w:rPr>
      </w:pPr>
    </w:p>
    <w:p w14:paraId="72C07D0B">
      <w:pPr>
        <w:jc w:val="both"/>
        <w:rPr>
          <w:lang w:val="es-ES" w:eastAsia="es-ES" w:bidi="en-US"/>
        </w:rPr>
      </w:pPr>
    </w:p>
    <w:p w14:paraId="11D8277C">
      <w:pPr>
        <w:jc w:val="both"/>
        <w:rPr>
          <w:lang w:val="es-ES" w:eastAsia="es-ES" w:bidi="en-US"/>
        </w:rPr>
      </w:pPr>
    </w:p>
    <w:p w14:paraId="4CE03422">
      <w:pPr>
        <w:jc w:val="both"/>
        <w:rPr>
          <w:lang w:val="es-ES" w:eastAsia="es-ES" w:bidi="en-US"/>
        </w:rPr>
      </w:pPr>
    </w:p>
    <w:p w14:paraId="492E44C2">
      <w:pPr>
        <w:jc w:val="both"/>
        <w:rPr>
          <w:lang w:val="es-ES" w:eastAsia="es-ES" w:bidi="en-US"/>
        </w:rPr>
      </w:pPr>
    </w:p>
    <w:p w14:paraId="0A5946D2">
      <w:pPr>
        <w:jc w:val="both"/>
        <w:rPr>
          <w:lang w:val="es-ES" w:eastAsia="es-ES" w:bidi="en-US"/>
        </w:rPr>
      </w:pPr>
    </w:p>
    <w:p w14:paraId="49ABB967">
      <w:pPr>
        <w:jc w:val="both"/>
        <w:rPr>
          <w:lang w:val="es-ES" w:eastAsia="es-ES" w:bidi="en-US"/>
        </w:rPr>
      </w:pPr>
    </w:p>
    <w:p w14:paraId="4ED00DCF">
      <w:pPr>
        <w:jc w:val="both"/>
        <w:rPr>
          <w:lang w:val="es-ES" w:eastAsia="es-ES" w:bidi="en-US"/>
        </w:rPr>
      </w:pPr>
    </w:p>
    <w:p w14:paraId="2DE2C896">
      <w:pPr>
        <w:jc w:val="both"/>
        <w:rPr>
          <w:lang w:val="es-ES" w:eastAsia="es-ES" w:bidi="en-US"/>
        </w:rPr>
      </w:pPr>
    </w:p>
    <w:p w14:paraId="61074718">
      <w:pPr>
        <w:jc w:val="both"/>
        <w:rPr>
          <w:lang w:val="es-ES" w:eastAsia="es-ES" w:bidi="en-US"/>
        </w:rPr>
      </w:pPr>
    </w:p>
    <w:p w14:paraId="6A850D76">
      <w:pPr>
        <w:jc w:val="both"/>
        <w:rPr>
          <w:lang w:val="es-ES" w:eastAsia="es-ES" w:bidi="en-US"/>
        </w:rPr>
      </w:pPr>
    </w:p>
    <w:p w14:paraId="0FF7F1FA">
      <w:pPr>
        <w:jc w:val="both"/>
        <w:rPr>
          <w:lang w:val="es-ES" w:eastAsia="es-ES" w:bidi="en-US"/>
        </w:rPr>
      </w:pPr>
    </w:p>
    <w:p w14:paraId="5631D8BE">
      <w:pPr>
        <w:jc w:val="both"/>
        <w:rPr>
          <w:lang w:val="es-ES" w:eastAsia="es-ES" w:bidi="en-US"/>
        </w:rPr>
      </w:pPr>
    </w:p>
    <w:p w14:paraId="3F7B34FD">
      <w:pPr>
        <w:jc w:val="both"/>
        <w:rPr>
          <w:lang w:val="es-ES" w:eastAsia="es-ES" w:bidi="en-US"/>
        </w:rPr>
      </w:pPr>
    </w:p>
    <w:p w14:paraId="1E3F0757">
      <w:pPr>
        <w:jc w:val="both"/>
        <w:rPr>
          <w:lang w:val="es-ES" w:eastAsia="es-ES" w:bidi="en-US"/>
        </w:rPr>
      </w:pPr>
    </w:p>
    <w:p w14:paraId="46869AA5">
      <w:pPr>
        <w:pStyle w:val="2"/>
        <w:rPr>
          <w:lang w:val="es-ES" w:eastAsia="es-ES" w:bidi="en-US"/>
        </w:rPr>
      </w:pPr>
      <w:bookmarkStart w:id="286" w:name="_Toc182642923"/>
      <w:r>
        <w:rPr>
          <w:lang w:val="es-ES" w:eastAsia="es-ES" w:bidi="en-US"/>
        </w:rPr>
        <w:t>REPORTES</w:t>
      </w:r>
      <w:bookmarkEnd w:id="286"/>
    </w:p>
    <w:p w14:paraId="36E16898">
      <w:pPr>
        <w:pStyle w:val="3"/>
      </w:pPr>
      <w:bookmarkStart w:id="287" w:name="_Toc182642924"/>
      <w:r>
        <w:t>Reportes internos</w:t>
      </w:r>
      <w:bookmarkEnd w:id="287"/>
    </w:p>
    <w:p w14:paraId="1F499A3C">
      <w:pPr>
        <w:rPr>
          <w:lang w:val="es-ES" w:eastAsia="es-ES" w:bidi="en-US"/>
        </w:rPr>
      </w:pPr>
      <w:r>
        <w:drawing>
          <wp:inline distT="0" distB="0" distL="0" distR="0">
            <wp:extent cx="5715000" cy="2752725"/>
            <wp:effectExtent l="0" t="0" r="0" b="9525"/>
            <wp:docPr id="160894969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949692" name="Imagen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15000" cy="2752725"/>
                    </a:xfrm>
                    <a:prstGeom prst="rect">
                      <a:avLst/>
                    </a:prstGeom>
                    <a:noFill/>
                    <a:ln>
                      <a:noFill/>
                    </a:ln>
                  </pic:spPr>
                </pic:pic>
              </a:graphicData>
            </a:graphic>
          </wp:inline>
        </w:drawing>
      </w:r>
    </w:p>
    <w:p w14:paraId="79E26D45">
      <w:pPr>
        <w:pStyle w:val="3"/>
      </w:pPr>
      <w:bookmarkStart w:id="288" w:name="_Toc182642925"/>
      <w:r>
        <w:t>Reportes externos</w:t>
      </w:r>
      <w:bookmarkEnd w:id="288"/>
    </w:p>
    <w:p w14:paraId="54F1233C">
      <w:pPr>
        <w:jc w:val="both"/>
        <w:rPr>
          <w:lang w:val="es-ES" w:eastAsia="es-ES" w:bidi="en-US"/>
        </w:rPr>
      </w:pPr>
      <w:r>
        <w:rPr>
          <w:lang w:val="es-ES" w:eastAsia="es-ES" w:bidi="en-US"/>
        </w:rPr>
        <w:t>Mensualmente, la entidad reporta las calificaciones a las centrales de riesgo. Así mismo y con la misma periodicidad, se envía a la SES la información de cartera, en el formato emitido por dicho ente de control.</w:t>
      </w:r>
    </w:p>
    <w:p w14:paraId="46BB006F">
      <w:pPr>
        <w:jc w:val="both"/>
        <w:rPr>
          <w:lang w:val="es-ES" w:eastAsia="es-ES" w:bidi="en-US"/>
        </w:rPr>
      </w:pPr>
    </w:p>
    <w:p w14:paraId="6CED29F6">
      <w:pPr>
        <w:jc w:val="both"/>
        <w:rPr>
          <w:lang w:val="es-ES" w:eastAsia="es-ES" w:bidi="en-US"/>
        </w:rPr>
      </w:pPr>
    </w:p>
    <w:p w14:paraId="16A7F6E0">
      <w:pPr>
        <w:jc w:val="both"/>
        <w:rPr>
          <w:lang w:val="es-ES" w:eastAsia="es-ES" w:bidi="en-US"/>
        </w:rPr>
      </w:pPr>
    </w:p>
    <w:p w14:paraId="30BA1287">
      <w:pPr>
        <w:jc w:val="both"/>
        <w:rPr>
          <w:lang w:val="es-ES" w:eastAsia="es-ES" w:bidi="en-US"/>
        </w:rPr>
      </w:pPr>
    </w:p>
    <w:p w14:paraId="6D6AC2D5">
      <w:pPr>
        <w:jc w:val="both"/>
        <w:rPr>
          <w:lang w:val="es-ES" w:eastAsia="es-ES" w:bidi="en-US"/>
        </w:rPr>
      </w:pPr>
    </w:p>
    <w:p w14:paraId="1C77217C">
      <w:pPr>
        <w:jc w:val="both"/>
        <w:rPr>
          <w:lang w:val="es-ES" w:eastAsia="es-ES" w:bidi="en-US"/>
        </w:rPr>
      </w:pPr>
    </w:p>
    <w:p w14:paraId="05F458C7">
      <w:pPr>
        <w:jc w:val="both"/>
        <w:rPr>
          <w:lang w:val="es-ES" w:eastAsia="es-ES" w:bidi="en-US"/>
        </w:rPr>
      </w:pPr>
    </w:p>
    <w:p w14:paraId="0425D4FE">
      <w:pPr>
        <w:jc w:val="both"/>
        <w:rPr>
          <w:lang w:val="es-ES" w:eastAsia="es-ES" w:bidi="en-US"/>
        </w:rPr>
      </w:pPr>
    </w:p>
    <w:p w14:paraId="5EB5DA16">
      <w:pPr>
        <w:jc w:val="both"/>
        <w:rPr>
          <w:lang w:val="es-ES" w:eastAsia="es-ES" w:bidi="en-US"/>
        </w:rPr>
      </w:pPr>
    </w:p>
    <w:p w14:paraId="7AE74288">
      <w:pPr>
        <w:jc w:val="both"/>
        <w:rPr>
          <w:lang w:val="es-ES" w:eastAsia="es-ES" w:bidi="en-US"/>
        </w:rPr>
      </w:pPr>
    </w:p>
    <w:p w14:paraId="47E230AE">
      <w:pPr>
        <w:pStyle w:val="2"/>
        <w:rPr>
          <w:lang w:val="es-ES" w:eastAsia="es-ES" w:bidi="en-US"/>
        </w:rPr>
      </w:pPr>
      <w:bookmarkStart w:id="289" w:name="_Toc182642926"/>
      <w:r>
        <w:rPr>
          <w:lang w:val="es-ES" w:eastAsia="es-ES" w:bidi="en-US"/>
        </w:rPr>
        <w:t>OTROS ASPECTOS</w:t>
      </w:r>
      <w:bookmarkEnd w:id="289"/>
    </w:p>
    <w:p w14:paraId="3F5FE18C">
      <w:pPr>
        <w:pStyle w:val="3"/>
      </w:pPr>
      <w:bookmarkStart w:id="290" w:name="_Toc182642927"/>
      <w:r>
        <w:t>Suspensión de la causación de intereses</w:t>
      </w:r>
      <w:bookmarkEnd w:id="290"/>
    </w:p>
    <w:p w14:paraId="410BD42B">
      <w:pPr>
        <w:jc w:val="both"/>
        <w:rPr>
          <w:lang w:val="es-ES" w:eastAsia="es-ES" w:bidi="en-US"/>
        </w:rPr>
      </w:pPr>
      <w:r>
        <w:rPr>
          <w:lang w:val="es-ES" w:eastAsia="es-ES" w:bidi="en-US"/>
        </w:rPr>
        <w:t>Dejarán de causarse intereses, corrección monetaria, ajustes en cambio, cánones e ingresos por otros conceptos, cuando un crédito presente la mora indicada en el siguiente cuadro:</w:t>
      </w:r>
    </w:p>
    <w:p w14:paraId="7DD75081">
      <w:pPr>
        <w:jc w:val="both"/>
        <w:rPr>
          <w:lang w:val="es-ES" w:eastAsia="es-ES" w:bidi="en-US"/>
        </w:rPr>
      </w:pPr>
    </w:p>
    <w:tbl>
      <w:tblPr>
        <w:tblStyle w:val="12"/>
        <w:tblW w:w="5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080"/>
        <w:gridCol w:w="2284"/>
      </w:tblGrid>
      <w:tr w14:paraId="72DA1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1" w:hRule="atLeast"/>
          <w:jc w:val="center"/>
        </w:trPr>
        <w:tc>
          <w:tcPr>
            <w:tcW w:w="3080" w:type="dxa"/>
            <w:shd w:val="clear" w:color="auto" w:fill="auto"/>
            <w:tcMar>
              <w:top w:w="15" w:type="dxa"/>
              <w:left w:w="70" w:type="dxa"/>
              <w:bottom w:w="0" w:type="dxa"/>
              <w:right w:w="70" w:type="dxa"/>
            </w:tcMar>
          </w:tcPr>
          <w:p w14:paraId="07ACD95D">
            <w:pPr>
              <w:suppressAutoHyphens/>
              <w:autoSpaceDE w:val="0"/>
              <w:autoSpaceDN w:val="0"/>
              <w:adjustRightInd w:val="0"/>
              <w:ind w:left="142" w:right="49"/>
              <w:jc w:val="both"/>
              <w:rPr>
                <w:rFonts w:cs="Arial"/>
                <w:b/>
                <w:color w:val="000000" w:themeColor="text1"/>
                <w:szCs w:val="24"/>
                <w:lang w:eastAsia="ar-SA"/>
                <w14:textFill>
                  <w14:solidFill>
                    <w14:schemeClr w14:val="tx1"/>
                  </w14:solidFill>
                </w14:textFill>
              </w:rPr>
            </w:pPr>
            <w:r>
              <w:rPr>
                <w:rFonts w:cs="Arial"/>
                <w:b/>
                <w:color w:val="000000" w:themeColor="text1"/>
                <w:szCs w:val="24"/>
                <w:lang w:eastAsia="ar-SA"/>
                <w14:textFill>
                  <w14:solidFill>
                    <w14:schemeClr w14:val="tx1"/>
                  </w14:solidFill>
                </w14:textFill>
              </w:rPr>
              <w:t>MODALIDAD DE CREDITO</w:t>
            </w:r>
          </w:p>
        </w:tc>
        <w:tc>
          <w:tcPr>
            <w:tcW w:w="2284" w:type="dxa"/>
            <w:shd w:val="clear" w:color="auto" w:fill="auto"/>
            <w:tcMar>
              <w:top w:w="15" w:type="dxa"/>
              <w:left w:w="70" w:type="dxa"/>
              <w:bottom w:w="0" w:type="dxa"/>
              <w:right w:w="70" w:type="dxa"/>
            </w:tcMar>
          </w:tcPr>
          <w:p w14:paraId="0D1B7EBF">
            <w:pPr>
              <w:suppressAutoHyphens/>
              <w:autoSpaceDE w:val="0"/>
              <w:autoSpaceDN w:val="0"/>
              <w:adjustRightInd w:val="0"/>
              <w:ind w:left="142" w:right="49"/>
              <w:jc w:val="both"/>
              <w:rPr>
                <w:rFonts w:cs="Arial"/>
                <w:b/>
                <w:color w:val="000000" w:themeColor="text1"/>
                <w:szCs w:val="24"/>
                <w:lang w:eastAsia="ar-SA"/>
                <w14:textFill>
                  <w14:solidFill>
                    <w14:schemeClr w14:val="tx1"/>
                  </w14:solidFill>
                </w14:textFill>
              </w:rPr>
            </w:pPr>
            <w:r>
              <w:rPr>
                <w:rFonts w:cs="Arial"/>
                <w:b/>
                <w:color w:val="000000" w:themeColor="text1"/>
                <w:szCs w:val="24"/>
                <w:lang w:eastAsia="ar-SA"/>
                <w14:textFill>
                  <w14:solidFill>
                    <w14:schemeClr w14:val="tx1"/>
                  </w14:solidFill>
                </w14:textFill>
              </w:rPr>
              <w:t>MORA SUPERIOR A</w:t>
            </w:r>
          </w:p>
        </w:tc>
      </w:tr>
      <w:tr w14:paraId="105EA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1" w:hRule="atLeast"/>
          <w:jc w:val="center"/>
        </w:trPr>
        <w:tc>
          <w:tcPr>
            <w:tcW w:w="3080" w:type="dxa"/>
            <w:shd w:val="clear" w:color="auto" w:fill="auto"/>
            <w:tcMar>
              <w:top w:w="15" w:type="dxa"/>
              <w:left w:w="70" w:type="dxa"/>
              <w:bottom w:w="0" w:type="dxa"/>
              <w:right w:w="70" w:type="dxa"/>
            </w:tcMar>
          </w:tcPr>
          <w:p w14:paraId="33F73806">
            <w:pPr>
              <w:suppressAutoHyphens/>
              <w:autoSpaceDE w:val="0"/>
              <w:autoSpaceDN w:val="0"/>
              <w:adjustRightInd w:val="0"/>
              <w:ind w:left="142" w:right="49"/>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Comercial</w:t>
            </w:r>
          </w:p>
        </w:tc>
        <w:tc>
          <w:tcPr>
            <w:tcW w:w="2284" w:type="dxa"/>
            <w:shd w:val="clear" w:color="auto" w:fill="auto"/>
            <w:tcMar>
              <w:top w:w="15" w:type="dxa"/>
              <w:left w:w="70" w:type="dxa"/>
              <w:bottom w:w="0" w:type="dxa"/>
              <w:right w:w="70" w:type="dxa"/>
            </w:tcMar>
          </w:tcPr>
          <w:p w14:paraId="2E2D067D">
            <w:pPr>
              <w:suppressAutoHyphens/>
              <w:autoSpaceDE w:val="0"/>
              <w:autoSpaceDN w:val="0"/>
              <w:adjustRightInd w:val="0"/>
              <w:ind w:left="142" w:right="49"/>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90 días</w:t>
            </w:r>
          </w:p>
        </w:tc>
      </w:tr>
      <w:tr w14:paraId="63EA1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1" w:hRule="atLeast"/>
          <w:jc w:val="center"/>
        </w:trPr>
        <w:tc>
          <w:tcPr>
            <w:tcW w:w="3080" w:type="dxa"/>
            <w:shd w:val="clear" w:color="auto" w:fill="auto"/>
            <w:tcMar>
              <w:top w:w="15" w:type="dxa"/>
              <w:left w:w="70" w:type="dxa"/>
              <w:bottom w:w="0" w:type="dxa"/>
              <w:right w:w="70" w:type="dxa"/>
            </w:tcMar>
          </w:tcPr>
          <w:p w14:paraId="1A564F63">
            <w:pPr>
              <w:suppressAutoHyphens/>
              <w:autoSpaceDE w:val="0"/>
              <w:autoSpaceDN w:val="0"/>
              <w:adjustRightInd w:val="0"/>
              <w:ind w:left="142" w:right="49"/>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Consumo</w:t>
            </w:r>
          </w:p>
        </w:tc>
        <w:tc>
          <w:tcPr>
            <w:tcW w:w="2284" w:type="dxa"/>
            <w:shd w:val="clear" w:color="auto" w:fill="auto"/>
            <w:tcMar>
              <w:top w:w="15" w:type="dxa"/>
              <w:left w:w="70" w:type="dxa"/>
              <w:bottom w:w="0" w:type="dxa"/>
              <w:right w:w="70" w:type="dxa"/>
            </w:tcMar>
          </w:tcPr>
          <w:p w14:paraId="7C304C3F">
            <w:pPr>
              <w:suppressAutoHyphens/>
              <w:autoSpaceDE w:val="0"/>
              <w:autoSpaceDN w:val="0"/>
              <w:adjustRightInd w:val="0"/>
              <w:ind w:left="142" w:right="49"/>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60 días</w:t>
            </w:r>
          </w:p>
        </w:tc>
      </w:tr>
      <w:tr w14:paraId="2F7F0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1" w:hRule="atLeast"/>
          <w:jc w:val="center"/>
        </w:trPr>
        <w:tc>
          <w:tcPr>
            <w:tcW w:w="3080" w:type="dxa"/>
            <w:shd w:val="clear" w:color="auto" w:fill="auto"/>
            <w:tcMar>
              <w:top w:w="15" w:type="dxa"/>
              <w:left w:w="70" w:type="dxa"/>
              <w:bottom w:w="0" w:type="dxa"/>
              <w:right w:w="70" w:type="dxa"/>
            </w:tcMar>
          </w:tcPr>
          <w:p w14:paraId="25ABB59A">
            <w:pPr>
              <w:suppressAutoHyphens/>
              <w:autoSpaceDE w:val="0"/>
              <w:autoSpaceDN w:val="0"/>
              <w:adjustRightInd w:val="0"/>
              <w:ind w:left="142" w:right="49"/>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Vivienda</w:t>
            </w:r>
          </w:p>
        </w:tc>
        <w:tc>
          <w:tcPr>
            <w:tcW w:w="2284" w:type="dxa"/>
            <w:shd w:val="clear" w:color="auto" w:fill="auto"/>
            <w:tcMar>
              <w:top w:w="15" w:type="dxa"/>
              <w:left w:w="70" w:type="dxa"/>
              <w:bottom w:w="0" w:type="dxa"/>
              <w:right w:w="70" w:type="dxa"/>
            </w:tcMar>
          </w:tcPr>
          <w:p w14:paraId="4762AC76">
            <w:pPr>
              <w:suppressAutoHyphens/>
              <w:autoSpaceDE w:val="0"/>
              <w:autoSpaceDN w:val="0"/>
              <w:adjustRightInd w:val="0"/>
              <w:ind w:left="142" w:right="49"/>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60 días</w:t>
            </w:r>
          </w:p>
        </w:tc>
      </w:tr>
      <w:tr w14:paraId="645DC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1" w:hRule="atLeast"/>
          <w:jc w:val="center"/>
        </w:trPr>
        <w:tc>
          <w:tcPr>
            <w:tcW w:w="3080" w:type="dxa"/>
            <w:shd w:val="clear" w:color="auto" w:fill="auto"/>
            <w:tcMar>
              <w:top w:w="15" w:type="dxa"/>
              <w:left w:w="70" w:type="dxa"/>
              <w:bottom w:w="0" w:type="dxa"/>
              <w:right w:w="70" w:type="dxa"/>
            </w:tcMar>
          </w:tcPr>
          <w:p w14:paraId="37CA5B15">
            <w:pPr>
              <w:suppressAutoHyphens/>
              <w:autoSpaceDE w:val="0"/>
              <w:autoSpaceDN w:val="0"/>
              <w:adjustRightInd w:val="0"/>
              <w:ind w:left="142" w:right="49"/>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Microcrédito</w:t>
            </w:r>
          </w:p>
        </w:tc>
        <w:tc>
          <w:tcPr>
            <w:tcW w:w="2284" w:type="dxa"/>
            <w:shd w:val="clear" w:color="auto" w:fill="auto"/>
            <w:tcMar>
              <w:top w:w="15" w:type="dxa"/>
              <w:left w:w="70" w:type="dxa"/>
              <w:bottom w:w="0" w:type="dxa"/>
              <w:right w:w="70" w:type="dxa"/>
            </w:tcMar>
          </w:tcPr>
          <w:p w14:paraId="6914F73D">
            <w:pPr>
              <w:suppressAutoHyphens/>
              <w:autoSpaceDE w:val="0"/>
              <w:autoSpaceDN w:val="0"/>
              <w:adjustRightInd w:val="0"/>
              <w:ind w:left="142" w:right="49"/>
              <w:jc w:val="both"/>
              <w:rPr>
                <w:rFonts w:cs="Arial"/>
                <w:color w:val="000000" w:themeColor="text1"/>
                <w:szCs w:val="24"/>
                <w:lang w:eastAsia="ar-SA"/>
                <w14:textFill>
                  <w14:solidFill>
                    <w14:schemeClr w14:val="tx1"/>
                  </w14:solidFill>
                </w14:textFill>
              </w:rPr>
            </w:pPr>
            <w:r>
              <w:rPr>
                <w:rFonts w:cs="Arial"/>
                <w:color w:val="000000" w:themeColor="text1"/>
                <w:szCs w:val="24"/>
                <w:lang w:eastAsia="ar-SA"/>
                <w14:textFill>
                  <w14:solidFill>
                    <w14:schemeClr w14:val="tx1"/>
                  </w14:solidFill>
                </w14:textFill>
              </w:rPr>
              <w:t>30 días</w:t>
            </w:r>
          </w:p>
        </w:tc>
      </w:tr>
    </w:tbl>
    <w:p w14:paraId="71DA2CEE">
      <w:pPr>
        <w:jc w:val="both"/>
        <w:rPr>
          <w:lang w:val="es-ES" w:eastAsia="es-ES" w:bidi="en-US"/>
        </w:rPr>
      </w:pPr>
    </w:p>
    <w:p w14:paraId="226C87E0">
      <w:pPr>
        <w:jc w:val="both"/>
        <w:rPr>
          <w:lang w:val="es-ES" w:eastAsia="es-ES" w:bidi="en-US"/>
        </w:rPr>
      </w:pPr>
      <w:r>
        <w:rPr>
          <w:lang w:val="es-ES" w:eastAsia="es-ES" w:bidi="en-US"/>
        </w:rPr>
        <w:t>Cuando el capital del respectivo crédito ha sido calificado de mayor riesgo, igualmente los intereses y otros conceptos se deben reclasificar en la categoría de riesgo en que fue calificado su principal.</w:t>
      </w:r>
    </w:p>
    <w:p w14:paraId="6F989CB5">
      <w:pPr>
        <w:pStyle w:val="3"/>
      </w:pPr>
      <w:bookmarkStart w:id="291" w:name="_Toc182642928"/>
      <w:r>
        <w:t>Recaudo de Créditos a través de deudores patronales</w:t>
      </w:r>
      <w:bookmarkEnd w:id="291"/>
    </w:p>
    <w:p w14:paraId="62180947">
      <w:pPr>
        <w:jc w:val="both"/>
        <w:rPr>
          <w:highlight w:val="yellow"/>
          <w:lang w:val="es-ES" w:eastAsia="es-ES" w:bidi="en-US"/>
        </w:rPr>
      </w:pPr>
      <w:r>
        <w:rPr>
          <w:highlight w:val="yellow"/>
          <w:lang w:val="es-ES" w:eastAsia="es-ES" w:bidi="en-US"/>
        </w:rPr>
        <w:t>En los créditos que se recaudan por libranza, se debe tener en cuenta que, si la deudora patronal registra una mora superior a 30 días en el pago de los valores descontados a los asociados, se deberá evaluar el convenio de la libranza e informar inmediatamente al deudor, quien es el responsable de la obligación ante la cooperativa; a partir de esa fecha, se deberá iniciar la calificación individual del crédito de conformidad con lo señalado en el presente capitulo y aplicar las reglas de deterioro dependiendo la modalidad de crédito.</w:t>
      </w:r>
    </w:p>
    <w:p w14:paraId="4F28DFC7">
      <w:pPr>
        <w:jc w:val="both"/>
        <w:rPr>
          <w:highlight w:val="yellow"/>
          <w:lang w:val="es-ES" w:eastAsia="es-ES" w:bidi="en-US"/>
        </w:rPr>
      </w:pPr>
      <w:r>
        <w:rPr>
          <w:highlight w:val="yellow"/>
          <w:lang w:val="es-ES" w:eastAsia="es-ES" w:bidi="en-US"/>
        </w:rPr>
        <w:t>Las pagadurías de las entidades a través de las cuales las cooperativa requiere los descuentos de sus asociados por la prestación de sus servicios, están obligadas a atender los compromisos contractuales adquiridos por los asociados de acuerdo a lo señalado en los artículos 142°, 143° y 144° de la Ley 79 de 1988 y el artículo 55° del Decreto 1481 de 1989 modificado por el artículo 9 de la Ley 1391 de 2010, y la Ley 1527 de 2012, en lo que resulte aplicable.</w:t>
      </w:r>
    </w:p>
    <w:p w14:paraId="61D15D8B">
      <w:pPr>
        <w:jc w:val="both"/>
        <w:rPr>
          <w:lang w:val="es-ES" w:eastAsia="es-ES" w:bidi="en-US"/>
        </w:rPr>
      </w:pPr>
      <w:r>
        <w:rPr>
          <w:highlight w:val="yellow"/>
          <w:lang w:val="es-ES" w:eastAsia="es-ES" w:bidi="en-US"/>
        </w:rPr>
        <w:t>Para efectos de registrar los descuentos efectuados por nómina a los asociados por los conceptos (aportes y ahorros), la cooperativa deberá contabilizar en la cuenta 272035 retenciones o anticipos pendientes de aplicar, cuando se trate de aportes, mientras las pagadurías realizan efectivamente los pagos.  Si se trata de los ahorros la cuenta será la 272095.</w:t>
      </w:r>
    </w:p>
    <w:p w14:paraId="408377CA">
      <w:pPr>
        <w:jc w:val="both"/>
        <w:rPr>
          <w:lang w:val="es-ES" w:eastAsia="es-ES" w:bidi="en-US"/>
        </w:rPr>
      </w:pPr>
    </w:p>
    <w:p w14:paraId="61139B5E">
      <w:pPr>
        <w:jc w:val="both"/>
        <w:rPr>
          <w:lang w:val="es-ES" w:eastAsia="es-ES" w:bidi="en-US"/>
        </w:rPr>
      </w:pPr>
    </w:p>
    <w:p w14:paraId="4B6B9485">
      <w:pPr>
        <w:jc w:val="both"/>
        <w:rPr>
          <w:lang w:val="es-ES" w:eastAsia="es-ES" w:bidi="en-US"/>
        </w:rPr>
      </w:pPr>
    </w:p>
    <w:p w14:paraId="6432C305">
      <w:pPr>
        <w:jc w:val="both"/>
        <w:rPr>
          <w:lang w:val="es-ES" w:eastAsia="es-ES" w:bidi="en-US"/>
        </w:rPr>
      </w:pPr>
    </w:p>
    <w:p w14:paraId="18B556A7">
      <w:pPr>
        <w:jc w:val="both"/>
        <w:rPr>
          <w:lang w:val="es-ES" w:eastAsia="es-ES" w:bidi="en-US"/>
        </w:rPr>
      </w:pPr>
    </w:p>
    <w:p w14:paraId="024CF49A">
      <w:pPr>
        <w:jc w:val="both"/>
        <w:rPr>
          <w:lang w:val="es-ES" w:eastAsia="es-ES" w:bidi="en-US"/>
        </w:rPr>
      </w:pPr>
    </w:p>
    <w:p w14:paraId="6EB1FCE0">
      <w:pPr>
        <w:jc w:val="both"/>
        <w:rPr>
          <w:lang w:val="es-ES" w:eastAsia="es-ES" w:bidi="en-US"/>
        </w:rPr>
      </w:pPr>
    </w:p>
    <w:p w14:paraId="375BFF96">
      <w:pPr>
        <w:jc w:val="both"/>
        <w:rPr>
          <w:lang w:val="es-ES" w:eastAsia="es-ES" w:bidi="en-US"/>
        </w:rPr>
      </w:pPr>
    </w:p>
    <w:p w14:paraId="5A245B32">
      <w:pPr>
        <w:jc w:val="both"/>
        <w:rPr>
          <w:lang w:val="es-ES" w:eastAsia="es-ES" w:bidi="en-US"/>
        </w:rPr>
      </w:pPr>
    </w:p>
    <w:p w14:paraId="799A3EC4">
      <w:pPr>
        <w:jc w:val="both"/>
        <w:rPr>
          <w:lang w:val="es-ES" w:eastAsia="es-ES" w:bidi="en-US"/>
        </w:rPr>
      </w:pPr>
    </w:p>
    <w:p w14:paraId="5C485D76">
      <w:pPr>
        <w:jc w:val="both"/>
        <w:rPr>
          <w:lang w:val="es-ES" w:eastAsia="es-ES" w:bidi="en-US"/>
        </w:rPr>
      </w:pPr>
    </w:p>
    <w:p w14:paraId="41B880A0">
      <w:pPr>
        <w:jc w:val="both"/>
        <w:rPr>
          <w:lang w:val="es-ES" w:eastAsia="es-ES" w:bidi="en-US"/>
        </w:rPr>
      </w:pPr>
    </w:p>
    <w:p w14:paraId="3E2FE8B0">
      <w:pPr>
        <w:jc w:val="both"/>
        <w:rPr>
          <w:lang w:val="es-ES" w:eastAsia="es-ES" w:bidi="en-US"/>
        </w:rPr>
      </w:pPr>
    </w:p>
    <w:p w14:paraId="15E2142A">
      <w:pPr>
        <w:jc w:val="both"/>
        <w:rPr>
          <w:lang w:val="es-ES" w:eastAsia="es-ES" w:bidi="en-US"/>
        </w:rPr>
      </w:pPr>
    </w:p>
    <w:p w14:paraId="48114090">
      <w:pPr>
        <w:jc w:val="both"/>
        <w:rPr>
          <w:lang w:val="es-ES" w:eastAsia="es-ES" w:bidi="en-US"/>
        </w:rPr>
      </w:pPr>
    </w:p>
    <w:p w14:paraId="22161DFA">
      <w:pPr>
        <w:jc w:val="both"/>
        <w:rPr>
          <w:lang w:val="es-ES" w:eastAsia="es-ES" w:bidi="en-US"/>
        </w:rPr>
      </w:pPr>
    </w:p>
    <w:p w14:paraId="286D1B1E">
      <w:pPr>
        <w:jc w:val="both"/>
        <w:rPr>
          <w:lang w:val="es-ES" w:eastAsia="es-ES" w:bidi="en-US"/>
        </w:rPr>
      </w:pPr>
    </w:p>
    <w:p w14:paraId="733EEDE8">
      <w:pPr>
        <w:jc w:val="both"/>
        <w:rPr>
          <w:lang w:val="es-ES" w:eastAsia="es-ES" w:bidi="en-US"/>
        </w:rPr>
      </w:pPr>
    </w:p>
    <w:p w14:paraId="55D8FC77">
      <w:pPr>
        <w:jc w:val="both"/>
        <w:rPr>
          <w:lang w:val="es-ES" w:eastAsia="es-ES" w:bidi="en-US"/>
        </w:rPr>
      </w:pPr>
    </w:p>
    <w:p w14:paraId="249B250B">
      <w:pPr>
        <w:jc w:val="both"/>
        <w:rPr>
          <w:lang w:val="es-ES" w:eastAsia="es-ES" w:bidi="en-US"/>
        </w:rPr>
      </w:pPr>
    </w:p>
    <w:p w14:paraId="775859B9">
      <w:pPr>
        <w:jc w:val="both"/>
        <w:rPr>
          <w:lang w:val="es-ES" w:eastAsia="es-ES" w:bidi="en-US"/>
        </w:rPr>
      </w:pPr>
    </w:p>
    <w:p w14:paraId="57EF7538">
      <w:pPr>
        <w:pStyle w:val="2"/>
        <w:rPr>
          <w:lang w:val="es-ES" w:eastAsia="es-ES" w:bidi="en-US"/>
        </w:rPr>
      </w:pPr>
      <w:bookmarkStart w:id="292" w:name="_Toc182642929"/>
      <w:r>
        <w:rPr>
          <w:lang w:val="es-ES" w:eastAsia="es-ES" w:bidi="en-US"/>
        </w:rPr>
        <w:t>DIVULGACION, CAPACITACIONES Y CUMPLIMIENTO DE DISPOSICIONES</w:t>
      </w:r>
      <w:bookmarkEnd w:id="292"/>
    </w:p>
    <w:p w14:paraId="0BD9BBA0">
      <w:pPr>
        <w:jc w:val="both"/>
        <w:rPr>
          <w:lang w:val="es-ES" w:eastAsia="es-ES" w:bidi="en-US"/>
        </w:rPr>
      </w:pPr>
      <w:r>
        <w:rPr>
          <w:lang w:val="es-ES" w:eastAsia="es-ES" w:bidi="en-US"/>
        </w:rPr>
        <w:t xml:space="preserve">COOPCALLEJONA a través del responsable de riesgos, realizará capacitaciones al personal involucrado en las diferentes áreas, a fin de dotarle de herramientas técnicas actualizadas para el adecuado manejo del mercado financiero de colocación, captación y ahorros. </w:t>
      </w:r>
    </w:p>
    <w:p w14:paraId="3AFF98DB">
      <w:pPr>
        <w:jc w:val="both"/>
        <w:rPr>
          <w:lang w:val="es-ES" w:eastAsia="es-ES" w:bidi="en-US"/>
        </w:rPr>
      </w:pPr>
      <w:r>
        <w:rPr>
          <w:lang w:val="es-ES" w:eastAsia="es-ES" w:bidi="en-US"/>
        </w:rPr>
        <w:t>Igualmente se deberán diseñar e implementar capacitaciones sobre SARC, a los miembros del Consejo de Administración.</w:t>
      </w:r>
    </w:p>
    <w:p w14:paraId="25C85572">
      <w:pPr>
        <w:jc w:val="both"/>
        <w:rPr>
          <w:lang w:val="es-ES" w:eastAsia="es-ES" w:bidi="en-US"/>
        </w:rPr>
      </w:pPr>
      <w:r>
        <w:rPr>
          <w:lang w:val="es-ES" w:eastAsia="es-ES" w:bidi="en-US"/>
        </w:rPr>
        <w:t>De todas estas acciones se dejarán constancia en acta u otro tipo de documento.</w:t>
      </w:r>
    </w:p>
    <w:p w14:paraId="0A092F26">
      <w:pPr>
        <w:rPr>
          <w:lang w:val="es-ES" w:eastAsia="es-ES" w:bidi="en-US"/>
        </w:rPr>
      </w:pPr>
    </w:p>
    <w:sectPr>
      <w:headerReference r:id="rId5" w:type="default"/>
      <w:pgSz w:w="12240" w:h="15840"/>
      <w:pgMar w:top="1417" w:right="1701"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等线">
    <w:altName w:val="Microsoft YaHei"/>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CG Times 12pt Italic">
    <w:altName w:val="Times New Roman"/>
    <w:panose1 w:val="00000000000000000000"/>
    <w:charset w:val="00"/>
    <w:family w:val="decorative"/>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Baloo Thambi 2">
    <w:altName w:val="Segoe Print"/>
    <w:panose1 w:val="00000000000000000000"/>
    <w:charset w:val="00"/>
    <w:family w:val="auto"/>
    <w:pitch w:val="default"/>
    <w:sig w:usb0="00000000" w:usb1="00000000" w:usb2="00000000" w:usb3="00000000" w:csb0="00000193"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62"/>
      <w:tblW w:w="0" w:type="auto"/>
      <w:tblInd w:w="22" w:type="dxa"/>
      <w:tblBorders>
        <w:top w:val="single" w:color="385D88" w:sz="18" w:space="0"/>
        <w:left w:val="single" w:color="385D88" w:sz="18" w:space="0"/>
        <w:bottom w:val="single" w:color="385D88" w:sz="18" w:space="0"/>
        <w:right w:val="single" w:color="385D88" w:sz="18" w:space="0"/>
        <w:insideH w:val="single" w:color="385D88" w:sz="18" w:space="0"/>
        <w:insideV w:val="single" w:color="385D88" w:sz="18" w:space="0"/>
      </w:tblBorders>
      <w:tblLayout w:type="fixed"/>
      <w:tblCellMar>
        <w:top w:w="0" w:type="dxa"/>
        <w:left w:w="0" w:type="dxa"/>
        <w:bottom w:w="0" w:type="dxa"/>
        <w:right w:w="0" w:type="dxa"/>
      </w:tblCellMar>
    </w:tblPr>
    <w:tblGrid>
      <w:gridCol w:w="2837"/>
      <w:gridCol w:w="4394"/>
      <w:gridCol w:w="1701"/>
    </w:tblGrid>
    <w:tr w14:paraId="7A541229">
      <w:tblPrEx>
        <w:tblBorders>
          <w:top w:val="single" w:color="385D88" w:sz="18" w:space="0"/>
          <w:left w:val="single" w:color="385D88" w:sz="18" w:space="0"/>
          <w:bottom w:val="single" w:color="385D88" w:sz="18" w:space="0"/>
          <w:right w:val="single" w:color="385D88" w:sz="18" w:space="0"/>
          <w:insideH w:val="single" w:color="385D88" w:sz="18" w:space="0"/>
          <w:insideV w:val="single" w:color="385D88" w:sz="18" w:space="0"/>
        </w:tblBorders>
        <w:tblCellMar>
          <w:top w:w="0" w:type="dxa"/>
          <w:left w:w="0" w:type="dxa"/>
          <w:bottom w:w="0" w:type="dxa"/>
          <w:right w:w="0" w:type="dxa"/>
        </w:tblCellMar>
      </w:tblPrEx>
      <w:trPr>
        <w:trHeight w:val="987" w:hRule="atLeast"/>
      </w:trPr>
      <w:tc>
        <w:tcPr>
          <w:tcW w:w="2837" w:type="dxa"/>
          <w:vMerge w:val="restart"/>
        </w:tcPr>
        <w:p w14:paraId="6364108D">
          <w:pPr>
            <w:pStyle w:val="63"/>
            <w:rPr>
              <w:rFonts w:ascii="Times New Roman"/>
              <w:sz w:val="20"/>
            </w:rPr>
          </w:pPr>
          <w:r>
            <w:rPr>
              <w:rFonts w:ascii="Times New Roman"/>
              <w:sz w:val="20"/>
              <w14:ligatures w14:val="standardContextual"/>
            </w:rPr>
            <w:drawing>
              <wp:anchor distT="0" distB="0" distL="114300" distR="114300" simplePos="0" relativeHeight="251659264" behindDoc="0" locked="0" layoutInCell="1" allowOverlap="1">
                <wp:simplePos x="0" y="0"/>
                <wp:positionH relativeFrom="column">
                  <wp:posOffset>95885</wp:posOffset>
                </wp:positionH>
                <wp:positionV relativeFrom="paragraph">
                  <wp:posOffset>121920</wp:posOffset>
                </wp:positionV>
                <wp:extent cx="1533525" cy="885825"/>
                <wp:effectExtent l="0" t="0" r="9525" b="9525"/>
                <wp:wrapThrough wrapText="bothSides">
                  <wp:wrapPolygon>
                    <wp:start x="0" y="0"/>
                    <wp:lineTo x="0" y="21368"/>
                    <wp:lineTo x="21466" y="21368"/>
                    <wp:lineTo x="21466" y="0"/>
                    <wp:lineTo x="0" y="0"/>
                  </wp:wrapPolygon>
                </wp:wrapThrough>
                <wp:docPr id="209809341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093413" name="Imagen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33525" cy="885825"/>
                        </a:xfrm>
                        <a:prstGeom prst="rect">
                          <a:avLst/>
                        </a:prstGeom>
                      </pic:spPr>
                    </pic:pic>
                  </a:graphicData>
                </a:graphic>
              </wp:anchor>
            </w:drawing>
          </w:r>
        </w:p>
      </w:tc>
      <w:tc>
        <w:tcPr>
          <w:tcW w:w="4394" w:type="dxa"/>
        </w:tcPr>
        <w:p w14:paraId="10DBE178">
          <w:pPr>
            <w:pStyle w:val="63"/>
            <w:spacing w:before="164" w:line="400" w:lineRule="atLeast"/>
            <w:ind w:left="1425" w:hanging="1359"/>
            <w:rPr>
              <w:b/>
              <w:sz w:val="20"/>
            </w:rPr>
          </w:pPr>
          <w:r>
            <w:rPr>
              <w:b/>
              <w:sz w:val="20"/>
            </w:rPr>
            <w:t>MANUAL SISTEMA</w:t>
          </w:r>
          <w:r>
            <w:rPr>
              <w:b/>
              <w:spacing w:val="-7"/>
              <w:sz w:val="20"/>
            </w:rPr>
            <w:t xml:space="preserve"> </w:t>
          </w:r>
          <w:r>
            <w:rPr>
              <w:b/>
              <w:sz w:val="20"/>
            </w:rPr>
            <w:t>DE</w:t>
          </w:r>
          <w:r>
            <w:rPr>
              <w:b/>
              <w:spacing w:val="-7"/>
              <w:sz w:val="20"/>
            </w:rPr>
            <w:t xml:space="preserve"> </w:t>
          </w:r>
          <w:r>
            <w:rPr>
              <w:b/>
              <w:sz w:val="20"/>
            </w:rPr>
            <w:t>ADMINISTRACION</w:t>
          </w:r>
          <w:r>
            <w:rPr>
              <w:b/>
              <w:spacing w:val="-6"/>
              <w:sz w:val="20"/>
            </w:rPr>
            <w:t xml:space="preserve"> </w:t>
          </w:r>
          <w:r>
            <w:rPr>
              <w:b/>
              <w:sz w:val="20"/>
            </w:rPr>
            <w:t>DE</w:t>
          </w:r>
          <w:r>
            <w:rPr>
              <w:b/>
              <w:spacing w:val="-7"/>
              <w:sz w:val="20"/>
            </w:rPr>
            <w:t xml:space="preserve"> </w:t>
          </w:r>
          <w:r>
            <w:rPr>
              <w:b/>
              <w:sz w:val="20"/>
            </w:rPr>
            <w:t>RIESGO</w:t>
          </w:r>
          <w:r>
            <w:rPr>
              <w:b/>
              <w:spacing w:val="-42"/>
              <w:sz w:val="20"/>
            </w:rPr>
            <w:t xml:space="preserve"> </w:t>
          </w:r>
          <w:r>
            <w:rPr>
              <w:b/>
              <w:sz w:val="20"/>
            </w:rPr>
            <w:t>DE</w:t>
          </w:r>
          <w:r>
            <w:rPr>
              <w:b/>
              <w:spacing w:val="-3"/>
              <w:sz w:val="20"/>
            </w:rPr>
            <w:t xml:space="preserve"> </w:t>
          </w:r>
          <w:r>
            <w:rPr>
              <w:b/>
              <w:sz w:val="20"/>
            </w:rPr>
            <w:t>CREDITO -</w:t>
          </w:r>
          <w:r>
            <w:rPr>
              <w:b/>
              <w:spacing w:val="1"/>
              <w:sz w:val="20"/>
            </w:rPr>
            <w:t xml:space="preserve"> </w:t>
          </w:r>
          <w:r>
            <w:rPr>
              <w:b/>
              <w:sz w:val="20"/>
            </w:rPr>
            <w:t>SARC</w:t>
          </w:r>
        </w:p>
      </w:tc>
      <w:tc>
        <w:tcPr>
          <w:tcW w:w="1701" w:type="dxa"/>
          <w:vMerge w:val="restart"/>
        </w:tcPr>
        <w:p w14:paraId="5E656FD0">
          <w:pPr>
            <w:pStyle w:val="63"/>
            <w:rPr>
              <w:rFonts w:ascii="Times New Roman"/>
              <w:sz w:val="20"/>
            </w:rPr>
          </w:pPr>
        </w:p>
        <w:p w14:paraId="747F79BE">
          <w:pPr>
            <w:pStyle w:val="63"/>
            <w:rPr>
              <w:rFonts w:ascii="Times New Roman"/>
              <w:sz w:val="20"/>
            </w:rPr>
          </w:pPr>
        </w:p>
        <w:p w14:paraId="596E5F8A">
          <w:pPr>
            <w:pStyle w:val="63"/>
            <w:spacing w:before="170"/>
            <w:ind w:left="324"/>
            <w:rPr>
              <w:b/>
              <w:sz w:val="20"/>
            </w:rPr>
          </w:pPr>
          <w:r>
            <w:rPr>
              <w:b/>
              <w:sz w:val="20"/>
            </w:rPr>
            <w:t>VERSION</w:t>
          </w:r>
          <w:r>
            <w:rPr>
              <w:b/>
              <w:spacing w:val="-3"/>
              <w:sz w:val="20"/>
            </w:rPr>
            <w:t xml:space="preserve"> </w:t>
          </w:r>
          <w:r>
            <w:rPr>
              <w:b/>
              <w:sz w:val="20"/>
            </w:rPr>
            <w:t>3.0</w:t>
          </w:r>
        </w:p>
      </w:tc>
    </w:tr>
    <w:tr w14:paraId="3B592821">
      <w:tblPrEx>
        <w:tblBorders>
          <w:top w:val="single" w:color="385D88" w:sz="18" w:space="0"/>
          <w:left w:val="single" w:color="385D88" w:sz="18" w:space="0"/>
          <w:bottom w:val="single" w:color="385D88" w:sz="18" w:space="0"/>
          <w:right w:val="single" w:color="385D88" w:sz="18" w:space="0"/>
          <w:insideH w:val="single" w:color="385D88" w:sz="18" w:space="0"/>
          <w:insideV w:val="single" w:color="385D88" w:sz="18" w:space="0"/>
        </w:tblBorders>
        <w:tblCellMar>
          <w:top w:w="0" w:type="dxa"/>
          <w:left w:w="0" w:type="dxa"/>
          <w:bottom w:w="0" w:type="dxa"/>
          <w:right w:w="0" w:type="dxa"/>
        </w:tblCellMar>
      </w:tblPrEx>
      <w:trPr>
        <w:trHeight w:val="667" w:hRule="atLeast"/>
      </w:trPr>
      <w:tc>
        <w:tcPr>
          <w:tcW w:w="2837" w:type="dxa"/>
          <w:vMerge w:val="continue"/>
          <w:tcBorders>
            <w:top w:val="nil"/>
          </w:tcBorders>
        </w:tcPr>
        <w:p w14:paraId="0649B7B8">
          <w:pPr>
            <w:widowControl w:val="0"/>
            <w:autoSpaceDE w:val="0"/>
            <w:autoSpaceDN w:val="0"/>
            <w:spacing w:after="0" w:line="240" w:lineRule="auto"/>
            <w:rPr>
              <w:sz w:val="2"/>
              <w:szCs w:val="2"/>
              <w:lang w:val="en-US"/>
            </w:rPr>
          </w:pPr>
        </w:p>
      </w:tc>
      <w:tc>
        <w:tcPr>
          <w:tcW w:w="4394" w:type="dxa"/>
        </w:tcPr>
        <w:p w14:paraId="5519B508">
          <w:pPr>
            <w:pStyle w:val="63"/>
            <w:rPr>
              <w:rFonts w:ascii="Times New Roman"/>
              <w:sz w:val="18"/>
            </w:rPr>
          </w:pPr>
        </w:p>
        <w:p w14:paraId="5642CDAB">
          <w:pPr>
            <w:pStyle w:val="63"/>
            <w:spacing w:before="9"/>
            <w:rPr>
              <w:rFonts w:ascii="Times New Roman"/>
              <w:sz w:val="14"/>
            </w:rPr>
          </w:pPr>
        </w:p>
        <w:p w14:paraId="5BD90A30">
          <w:pPr>
            <w:pStyle w:val="63"/>
            <w:ind w:left="621"/>
            <w:rPr>
              <w:sz w:val="18"/>
            </w:rPr>
          </w:pPr>
          <w:r>
            <w:rPr>
              <w:sz w:val="18"/>
            </w:rPr>
            <w:t>FECHA</w:t>
          </w:r>
          <w:r>
            <w:rPr>
              <w:spacing w:val="-4"/>
              <w:sz w:val="18"/>
            </w:rPr>
            <w:t xml:space="preserve"> </w:t>
          </w:r>
          <w:r>
            <w:rPr>
              <w:sz w:val="18"/>
            </w:rPr>
            <w:t>DE</w:t>
          </w:r>
          <w:r>
            <w:rPr>
              <w:spacing w:val="-1"/>
              <w:sz w:val="18"/>
            </w:rPr>
            <w:t xml:space="preserve"> </w:t>
          </w:r>
          <w:r>
            <w:rPr>
              <w:sz w:val="18"/>
            </w:rPr>
            <w:t>EXPEDICION:</w:t>
          </w:r>
          <w:r>
            <w:rPr>
              <w:spacing w:val="38"/>
              <w:sz w:val="18"/>
            </w:rPr>
            <w:t xml:space="preserve"> </w:t>
          </w:r>
          <w:r>
            <w:rPr>
              <w:sz w:val="18"/>
            </w:rPr>
            <w:t>OCTUBRE</w:t>
          </w:r>
          <w:r>
            <w:rPr>
              <w:spacing w:val="-2"/>
              <w:sz w:val="18"/>
            </w:rPr>
            <w:t xml:space="preserve"> </w:t>
          </w:r>
          <w:r>
            <w:rPr>
              <w:sz w:val="18"/>
            </w:rPr>
            <w:t>DEL</w:t>
          </w:r>
          <w:r>
            <w:rPr>
              <w:spacing w:val="-1"/>
              <w:sz w:val="18"/>
            </w:rPr>
            <w:t xml:space="preserve"> </w:t>
          </w:r>
          <w:r>
            <w:rPr>
              <w:sz w:val="18"/>
            </w:rPr>
            <w:t>2024</w:t>
          </w:r>
        </w:p>
      </w:tc>
      <w:tc>
        <w:tcPr>
          <w:tcW w:w="1701" w:type="dxa"/>
          <w:vMerge w:val="continue"/>
          <w:tcBorders>
            <w:top w:val="nil"/>
          </w:tcBorders>
        </w:tcPr>
        <w:p w14:paraId="3068B0F3">
          <w:pPr>
            <w:widowControl w:val="0"/>
            <w:autoSpaceDE w:val="0"/>
            <w:autoSpaceDN w:val="0"/>
            <w:spacing w:after="0" w:line="240" w:lineRule="auto"/>
            <w:rPr>
              <w:sz w:val="2"/>
              <w:szCs w:val="2"/>
              <w:lang w:val="en-US"/>
            </w:rPr>
          </w:pPr>
        </w:p>
      </w:tc>
    </w:tr>
  </w:tbl>
  <w:p w14:paraId="503EF82B">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45"/>
      <w:lvlText w:val=""/>
      <w:lvlJc w:val="left"/>
      <w:pPr>
        <w:tabs>
          <w:tab w:val="left" w:pos="-1627"/>
        </w:tabs>
        <w:ind w:left="-1627" w:hanging="360"/>
      </w:pPr>
      <w:rPr>
        <w:rFonts w:hint="default" w:ascii="Symbol" w:hAnsi="Symbol"/>
      </w:rPr>
    </w:lvl>
  </w:abstractNum>
  <w:abstractNum w:abstractNumId="1">
    <w:nsid w:val="FFFFFF81"/>
    <w:multiLevelType w:val="singleLevel"/>
    <w:tmpl w:val="FFFFFF81"/>
    <w:lvl w:ilvl="0" w:tentative="0">
      <w:start w:val="1"/>
      <w:numFmt w:val="bullet"/>
      <w:pStyle w:val="50"/>
      <w:lvlText w:val=""/>
      <w:lvlJc w:val="left"/>
      <w:pPr>
        <w:tabs>
          <w:tab w:val="left" w:pos="1209"/>
        </w:tabs>
        <w:ind w:left="1209" w:hanging="360"/>
      </w:pPr>
      <w:rPr>
        <w:rFonts w:hint="default" w:ascii="Symbol" w:hAnsi="Symbol"/>
      </w:rPr>
    </w:lvl>
  </w:abstractNum>
  <w:abstractNum w:abstractNumId="2">
    <w:nsid w:val="FFFFFF82"/>
    <w:multiLevelType w:val="singleLevel"/>
    <w:tmpl w:val="FFFFFF82"/>
    <w:lvl w:ilvl="0" w:tentative="0">
      <w:start w:val="1"/>
      <w:numFmt w:val="bullet"/>
      <w:pStyle w:val="44"/>
      <w:lvlText w:val=""/>
      <w:lvlJc w:val="left"/>
      <w:pPr>
        <w:tabs>
          <w:tab w:val="left" w:pos="926"/>
        </w:tabs>
        <w:ind w:left="926" w:hanging="360"/>
      </w:pPr>
      <w:rPr>
        <w:rFonts w:hint="default" w:ascii="Symbol" w:hAnsi="Symbol"/>
      </w:rPr>
    </w:lvl>
  </w:abstractNum>
  <w:abstractNum w:abstractNumId="3">
    <w:nsid w:val="FFFFFF89"/>
    <w:multiLevelType w:val="singleLevel"/>
    <w:tmpl w:val="FFFFFF89"/>
    <w:lvl w:ilvl="0" w:tentative="0">
      <w:start w:val="1"/>
      <w:numFmt w:val="bullet"/>
      <w:pStyle w:val="48"/>
      <w:lvlText w:val=""/>
      <w:lvlJc w:val="left"/>
      <w:pPr>
        <w:tabs>
          <w:tab w:val="left" w:pos="360"/>
        </w:tabs>
        <w:ind w:left="360" w:hanging="360"/>
      </w:pPr>
      <w:rPr>
        <w:rFonts w:hint="default" w:ascii="Symbol" w:hAnsi="Symbol"/>
      </w:rPr>
    </w:lvl>
  </w:abstractNum>
  <w:abstractNum w:abstractNumId="4">
    <w:nsid w:val="010C4C23"/>
    <w:multiLevelType w:val="multilevel"/>
    <w:tmpl w:val="010C4C23"/>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9227CE4"/>
    <w:multiLevelType w:val="multilevel"/>
    <w:tmpl w:val="09227CE4"/>
    <w:lvl w:ilvl="0" w:tentative="0">
      <w:start w:val="1"/>
      <w:numFmt w:val="bullet"/>
      <w:lvlText w:val=""/>
      <w:lvlJc w:val="left"/>
      <w:pPr>
        <w:ind w:left="720" w:hanging="360"/>
      </w:pPr>
      <w:rPr>
        <w:rFonts w:hint="default" w:ascii="Wingdings" w:hAnsi="Wingdings"/>
        <w:strike w:val="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9FA6ADD"/>
    <w:multiLevelType w:val="singleLevel"/>
    <w:tmpl w:val="09FA6ADD"/>
    <w:lvl w:ilvl="0" w:tentative="0">
      <w:start w:val="1"/>
      <w:numFmt w:val="lowerLetter"/>
      <w:pStyle w:val="99"/>
      <w:lvlText w:val="%1."/>
      <w:lvlJc w:val="left"/>
      <w:pPr>
        <w:tabs>
          <w:tab w:val="left" w:pos="360"/>
        </w:tabs>
        <w:ind w:left="360" w:hanging="360"/>
      </w:pPr>
      <w:rPr>
        <w:rFonts w:hint="default"/>
      </w:rPr>
    </w:lvl>
  </w:abstractNum>
  <w:abstractNum w:abstractNumId="7">
    <w:nsid w:val="0DAF2EAE"/>
    <w:multiLevelType w:val="multilevel"/>
    <w:tmpl w:val="0DAF2EAE"/>
    <w:lvl w:ilvl="0" w:tentative="0">
      <w:start w:val="1"/>
      <w:numFmt w:val="bullet"/>
      <w:lvlText w:val=""/>
      <w:lvlJc w:val="left"/>
      <w:pPr>
        <w:ind w:left="862" w:hanging="360"/>
      </w:pPr>
      <w:rPr>
        <w:rFonts w:hint="default" w:ascii="Wingdings" w:hAnsi="Wingdings"/>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8">
    <w:nsid w:val="1085775A"/>
    <w:multiLevelType w:val="multilevel"/>
    <w:tmpl w:val="1085775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1DC5F70"/>
    <w:multiLevelType w:val="multilevel"/>
    <w:tmpl w:val="11DC5F7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CAE6B6F"/>
    <w:multiLevelType w:val="multilevel"/>
    <w:tmpl w:val="1CAE6B6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845" w:hanging="360"/>
      </w:pPr>
      <w:rPr>
        <w:rFonts w:hint="default" w:ascii="Courier New" w:hAnsi="Courier New" w:cs="Courier New"/>
      </w:rPr>
    </w:lvl>
    <w:lvl w:ilvl="2" w:tentative="0">
      <w:start w:val="1"/>
      <w:numFmt w:val="bullet"/>
      <w:lvlText w:val=""/>
      <w:lvlJc w:val="left"/>
      <w:pPr>
        <w:ind w:left="2565" w:hanging="360"/>
      </w:pPr>
      <w:rPr>
        <w:rFonts w:hint="default" w:ascii="Wingdings" w:hAnsi="Wingdings"/>
      </w:rPr>
    </w:lvl>
    <w:lvl w:ilvl="3" w:tentative="0">
      <w:start w:val="1"/>
      <w:numFmt w:val="bullet"/>
      <w:lvlText w:val=""/>
      <w:lvlJc w:val="left"/>
      <w:pPr>
        <w:ind w:left="3285" w:hanging="360"/>
      </w:pPr>
      <w:rPr>
        <w:rFonts w:hint="default" w:ascii="Symbol" w:hAnsi="Symbol"/>
      </w:rPr>
    </w:lvl>
    <w:lvl w:ilvl="4" w:tentative="0">
      <w:start w:val="1"/>
      <w:numFmt w:val="bullet"/>
      <w:lvlText w:val="o"/>
      <w:lvlJc w:val="left"/>
      <w:pPr>
        <w:ind w:left="4005" w:hanging="360"/>
      </w:pPr>
      <w:rPr>
        <w:rFonts w:hint="default" w:ascii="Courier New" w:hAnsi="Courier New" w:cs="Courier New"/>
      </w:rPr>
    </w:lvl>
    <w:lvl w:ilvl="5" w:tentative="0">
      <w:start w:val="1"/>
      <w:numFmt w:val="bullet"/>
      <w:lvlText w:val=""/>
      <w:lvlJc w:val="left"/>
      <w:pPr>
        <w:ind w:left="4725" w:hanging="360"/>
      </w:pPr>
      <w:rPr>
        <w:rFonts w:hint="default" w:ascii="Wingdings" w:hAnsi="Wingdings"/>
      </w:rPr>
    </w:lvl>
    <w:lvl w:ilvl="6" w:tentative="0">
      <w:start w:val="1"/>
      <w:numFmt w:val="bullet"/>
      <w:lvlText w:val=""/>
      <w:lvlJc w:val="left"/>
      <w:pPr>
        <w:ind w:left="5445" w:hanging="360"/>
      </w:pPr>
      <w:rPr>
        <w:rFonts w:hint="default" w:ascii="Symbol" w:hAnsi="Symbol"/>
      </w:rPr>
    </w:lvl>
    <w:lvl w:ilvl="7" w:tentative="0">
      <w:start w:val="1"/>
      <w:numFmt w:val="bullet"/>
      <w:lvlText w:val="o"/>
      <w:lvlJc w:val="left"/>
      <w:pPr>
        <w:ind w:left="6165" w:hanging="360"/>
      </w:pPr>
      <w:rPr>
        <w:rFonts w:hint="default" w:ascii="Courier New" w:hAnsi="Courier New" w:cs="Courier New"/>
      </w:rPr>
    </w:lvl>
    <w:lvl w:ilvl="8" w:tentative="0">
      <w:start w:val="1"/>
      <w:numFmt w:val="bullet"/>
      <w:lvlText w:val=""/>
      <w:lvlJc w:val="left"/>
      <w:pPr>
        <w:ind w:left="6885" w:hanging="360"/>
      </w:pPr>
      <w:rPr>
        <w:rFonts w:hint="default" w:ascii="Wingdings" w:hAnsi="Wingdings"/>
      </w:rPr>
    </w:lvl>
  </w:abstractNum>
  <w:abstractNum w:abstractNumId="11">
    <w:nsid w:val="1D3B14BE"/>
    <w:multiLevelType w:val="multilevel"/>
    <w:tmpl w:val="1D3B14B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1EAD7DDC"/>
    <w:multiLevelType w:val="multilevel"/>
    <w:tmpl w:val="1EAD7DDC"/>
    <w:lvl w:ilvl="0" w:tentative="0">
      <w:start w:val="0"/>
      <w:numFmt w:val="bullet"/>
      <w:lvlText w:val=""/>
      <w:lvlJc w:val="left"/>
      <w:pPr>
        <w:ind w:left="720" w:hanging="360"/>
      </w:pPr>
      <w:rPr>
        <w:rFonts w:hint="default" w:ascii="Wingdings" w:hAnsi="Wingdings" w:eastAsia="Wingdings" w:cs="Wingdings"/>
        <w:w w:val="100"/>
        <w:sz w:val="24"/>
        <w:szCs w:val="24"/>
        <w:lang w:val="es-ES" w:eastAsia="en-US" w:bidi="ar-S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1EDD3FF2"/>
    <w:multiLevelType w:val="multilevel"/>
    <w:tmpl w:val="1EDD3FF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860" w:hanging="360"/>
      </w:pPr>
      <w:rPr>
        <w:rFonts w:hint="default" w:ascii="Courier New" w:hAnsi="Courier New" w:cs="Courier New"/>
      </w:rPr>
    </w:lvl>
    <w:lvl w:ilvl="2" w:tentative="0">
      <w:start w:val="1"/>
      <w:numFmt w:val="bullet"/>
      <w:lvlText w:val=""/>
      <w:lvlJc w:val="left"/>
      <w:pPr>
        <w:ind w:left="2580" w:hanging="360"/>
      </w:pPr>
      <w:rPr>
        <w:rFonts w:hint="default" w:ascii="Wingdings" w:hAnsi="Wingdings"/>
      </w:rPr>
    </w:lvl>
    <w:lvl w:ilvl="3" w:tentative="0">
      <w:start w:val="1"/>
      <w:numFmt w:val="bullet"/>
      <w:lvlText w:val=""/>
      <w:lvlJc w:val="left"/>
      <w:pPr>
        <w:ind w:left="3300" w:hanging="360"/>
      </w:pPr>
      <w:rPr>
        <w:rFonts w:hint="default" w:ascii="Symbol" w:hAnsi="Symbol"/>
      </w:rPr>
    </w:lvl>
    <w:lvl w:ilvl="4" w:tentative="0">
      <w:start w:val="1"/>
      <w:numFmt w:val="bullet"/>
      <w:lvlText w:val="o"/>
      <w:lvlJc w:val="left"/>
      <w:pPr>
        <w:ind w:left="4020" w:hanging="360"/>
      </w:pPr>
      <w:rPr>
        <w:rFonts w:hint="default" w:ascii="Courier New" w:hAnsi="Courier New" w:cs="Courier New"/>
      </w:rPr>
    </w:lvl>
    <w:lvl w:ilvl="5" w:tentative="0">
      <w:start w:val="1"/>
      <w:numFmt w:val="bullet"/>
      <w:lvlText w:val=""/>
      <w:lvlJc w:val="left"/>
      <w:pPr>
        <w:ind w:left="4740" w:hanging="360"/>
      </w:pPr>
      <w:rPr>
        <w:rFonts w:hint="default" w:ascii="Wingdings" w:hAnsi="Wingdings"/>
      </w:rPr>
    </w:lvl>
    <w:lvl w:ilvl="6" w:tentative="0">
      <w:start w:val="1"/>
      <w:numFmt w:val="bullet"/>
      <w:lvlText w:val=""/>
      <w:lvlJc w:val="left"/>
      <w:pPr>
        <w:ind w:left="5460" w:hanging="360"/>
      </w:pPr>
      <w:rPr>
        <w:rFonts w:hint="default" w:ascii="Symbol" w:hAnsi="Symbol"/>
      </w:rPr>
    </w:lvl>
    <w:lvl w:ilvl="7" w:tentative="0">
      <w:start w:val="1"/>
      <w:numFmt w:val="bullet"/>
      <w:lvlText w:val="o"/>
      <w:lvlJc w:val="left"/>
      <w:pPr>
        <w:ind w:left="6180" w:hanging="360"/>
      </w:pPr>
      <w:rPr>
        <w:rFonts w:hint="default" w:ascii="Courier New" w:hAnsi="Courier New" w:cs="Courier New"/>
      </w:rPr>
    </w:lvl>
    <w:lvl w:ilvl="8" w:tentative="0">
      <w:start w:val="1"/>
      <w:numFmt w:val="bullet"/>
      <w:lvlText w:val=""/>
      <w:lvlJc w:val="left"/>
      <w:pPr>
        <w:ind w:left="6900" w:hanging="360"/>
      </w:pPr>
      <w:rPr>
        <w:rFonts w:hint="default" w:ascii="Wingdings" w:hAnsi="Wingdings"/>
      </w:rPr>
    </w:lvl>
  </w:abstractNum>
  <w:abstractNum w:abstractNumId="14">
    <w:nsid w:val="1FFB28B5"/>
    <w:multiLevelType w:val="multilevel"/>
    <w:tmpl w:val="1FFB28B5"/>
    <w:lvl w:ilvl="0" w:tentative="0">
      <w:start w:val="1"/>
      <w:numFmt w:val="lowerLetter"/>
      <w:lvlText w:val="%1."/>
      <w:lvlJc w:val="left"/>
      <w:pPr>
        <w:ind w:left="720" w:hanging="360"/>
      </w:pPr>
      <w:rPr>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218E00BB"/>
    <w:multiLevelType w:val="multilevel"/>
    <w:tmpl w:val="218E00BB"/>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29C65961"/>
    <w:multiLevelType w:val="multilevel"/>
    <w:tmpl w:val="29C6596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2AD5735E"/>
    <w:multiLevelType w:val="multilevel"/>
    <w:tmpl w:val="2AD5735E"/>
    <w:lvl w:ilvl="0" w:tentative="0">
      <w:start w:val="1"/>
      <w:numFmt w:val="bullet"/>
      <w:lvlText w:val=""/>
      <w:lvlJc w:val="left"/>
      <w:pPr>
        <w:ind w:left="720" w:hanging="360"/>
      </w:pPr>
      <w:rPr>
        <w:rFonts w:hint="default" w:ascii="Wingdings" w:hAnsi="Wingdings"/>
        <w:color w:val="000000" w:themeColor="text1"/>
        <w14:textFill>
          <w14:solidFill>
            <w14:schemeClr w14:val="tx1"/>
          </w14:solidFill>
        </w14:textFil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2BC84864"/>
    <w:multiLevelType w:val="multilevel"/>
    <w:tmpl w:val="2BC84864"/>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32134D79"/>
    <w:multiLevelType w:val="multilevel"/>
    <w:tmpl w:val="32134D79"/>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32483F84"/>
    <w:multiLevelType w:val="multilevel"/>
    <w:tmpl w:val="32483F84"/>
    <w:lvl w:ilvl="0" w:tentative="0">
      <w:start w:val="0"/>
      <w:numFmt w:val="bullet"/>
      <w:lvlText w:val=""/>
      <w:lvlJc w:val="left"/>
      <w:pPr>
        <w:ind w:left="720" w:hanging="360"/>
      </w:pPr>
      <w:rPr>
        <w:rFonts w:hint="default" w:ascii="Wingdings" w:hAnsi="Wingdings" w:eastAsia="Wingdings" w:cs="Wingdings"/>
        <w:w w:val="100"/>
        <w:sz w:val="24"/>
        <w:szCs w:val="24"/>
        <w:lang w:val="es-ES" w:eastAsia="en-US" w:bidi="ar-S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335F033D"/>
    <w:multiLevelType w:val="multilevel"/>
    <w:tmpl w:val="335F033D"/>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42AA29B4"/>
    <w:multiLevelType w:val="multilevel"/>
    <w:tmpl w:val="42AA29B4"/>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4353093E"/>
    <w:multiLevelType w:val="multilevel"/>
    <w:tmpl w:val="4353093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43E32A77"/>
    <w:multiLevelType w:val="multilevel"/>
    <w:tmpl w:val="43E32A77"/>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4661445A"/>
    <w:multiLevelType w:val="multilevel"/>
    <w:tmpl w:val="4661445A"/>
    <w:lvl w:ilvl="0" w:tentative="0">
      <w:start w:val="1"/>
      <w:numFmt w:val="bullet"/>
      <w:lvlText w:val=""/>
      <w:lvlJc w:val="left"/>
      <w:pPr>
        <w:ind w:left="1440" w:hanging="360"/>
      </w:pPr>
      <w:rPr>
        <w:rFonts w:hint="default" w:ascii="Wingdings" w:hAnsi="Wingdings"/>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6">
    <w:nsid w:val="49BA30C0"/>
    <w:multiLevelType w:val="multilevel"/>
    <w:tmpl w:val="49BA30C0"/>
    <w:lvl w:ilvl="0" w:tentative="0">
      <w:start w:val="1"/>
      <w:numFmt w:val="bullet"/>
      <w:lvlText w:val=""/>
      <w:lvlJc w:val="left"/>
      <w:pPr>
        <w:ind w:left="862" w:hanging="360"/>
      </w:pPr>
      <w:rPr>
        <w:rFonts w:hint="default" w:ascii="Wingdings" w:hAnsi="Wingdings"/>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27">
    <w:nsid w:val="4BDD2465"/>
    <w:multiLevelType w:val="multilevel"/>
    <w:tmpl w:val="4BDD2465"/>
    <w:lvl w:ilvl="0" w:tentative="0">
      <w:start w:val="0"/>
      <w:numFmt w:val="bullet"/>
      <w:lvlText w:val=""/>
      <w:lvlJc w:val="left"/>
      <w:pPr>
        <w:ind w:left="720" w:hanging="360"/>
      </w:pPr>
      <w:rPr>
        <w:rFonts w:hint="default" w:ascii="Wingdings" w:hAnsi="Wingdings" w:eastAsia="Wingdings" w:cs="Wingdings"/>
        <w:w w:val="100"/>
        <w:sz w:val="24"/>
        <w:szCs w:val="24"/>
        <w:lang w:val="es-ES" w:eastAsia="en-US" w:bidi="ar-S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51713277"/>
    <w:multiLevelType w:val="multilevel"/>
    <w:tmpl w:val="51713277"/>
    <w:lvl w:ilvl="0" w:tentative="0">
      <w:start w:val="0"/>
      <w:numFmt w:val="bullet"/>
      <w:lvlText w:val=""/>
      <w:lvlJc w:val="left"/>
      <w:pPr>
        <w:ind w:left="720" w:hanging="360"/>
      </w:pPr>
      <w:rPr>
        <w:rFonts w:hint="default" w:ascii="Wingdings" w:hAnsi="Wingdings" w:eastAsia="Wingdings" w:cs="Wingdings"/>
        <w:w w:val="100"/>
        <w:sz w:val="24"/>
        <w:szCs w:val="24"/>
        <w:lang w:val="es-ES" w:eastAsia="en-US" w:bidi="ar-S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51AB642E"/>
    <w:multiLevelType w:val="multilevel"/>
    <w:tmpl w:val="51AB642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578D01F4"/>
    <w:multiLevelType w:val="multilevel"/>
    <w:tmpl w:val="578D01F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5997345B"/>
    <w:multiLevelType w:val="multilevel"/>
    <w:tmpl w:val="5997345B"/>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5A14073E"/>
    <w:multiLevelType w:val="multilevel"/>
    <w:tmpl w:val="5A1407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5D3875C6"/>
    <w:multiLevelType w:val="multilevel"/>
    <w:tmpl w:val="5D3875C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5DB7754F"/>
    <w:multiLevelType w:val="multilevel"/>
    <w:tmpl w:val="5DB7754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5">
    <w:nsid w:val="5E8679D6"/>
    <w:multiLevelType w:val="multilevel"/>
    <w:tmpl w:val="5E8679D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5F545623"/>
    <w:multiLevelType w:val="multilevel"/>
    <w:tmpl w:val="5F545623"/>
    <w:lvl w:ilvl="0" w:tentative="0">
      <w:start w:val="1"/>
      <w:numFmt w:val="bullet"/>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37">
    <w:nsid w:val="5FDD7721"/>
    <w:multiLevelType w:val="multilevel"/>
    <w:tmpl w:val="5FDD772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8">
    <w:nsid w:val="61262720"/>
    <w:multiLevelType w:val="multilevel"/>
    <w:tmpl w:val="61262720"/>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9">
    <w:nsid w:val="621171B9"/>
    <w:multiLevelType w:val="multilevel"/>
    <w:tmpl w:val="621171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633D65E3"/>
    <w:multiLevelType w:val="multilevel"/>
    <w:tmpl w:val="633D65E3"/>
    <w:lvl w:ilvl="0" w:tentative="0">
      <w:start w:val="1"/>
      <w:numFmt w:val="decimal"/>
      <w:lvlText w:val="%1."/>
      <w:lvlJc w:val="left"/>
      <w:pPr>
        <w:ind w:left="350" w:hanging="360"/>
      </w:pPr>
      <w:rPr>
        <w:rFonts w:hint="default"/>
        <w:b/>
        <w:color w:val="000000" w:themeColor="text1"/>
        <w14:textFill>
          <w14:solidFill>
            <w14:schemeClr w14:val="tx1"/>
          </w14:solidFill>
        </w14:textFill>
      </w:rPr>
    </w:lvl>
    <w:lvl w:ilvl="1" w:tentative="0">
      <w:start w:val="1"/>
      <w:numFmt w:val="lowerLetter"/>
      <w:lvlText w:val="%2."/>
      <w:lvlJc w:val="left"/>
      <w:pPr>
        <w:ind w:left="1070" w:hanging="360"/>
      </w:pPr>
    </w:lvl>
    <w:lvl w:ilvl="2" w:tentative="0">
      <w:start w:val="1"/>
      <w:numFmt w:val="lowerRoman"/>
      <w:lvlText w:val="%3."/>
      <w:lvlJc w:val="right"/>
      <w:pPr>
        <w:ind w:left="1790" w:hanging="180"/>
      </w:pPr>
    </w:lvl>
    <w:lvl w:ilvl="3" w:tentative="0">
      <w:start w:val="1"/>
      <w:numFmt w:val="decimal"/>
      <w:lvlText w:val="%4."/>
      <w:lvlJc w:val="left"/>
      <w:pPr>
        <w:ind w:left="2510" w:hanging="360"/>
      </w:pPr>
    </w:lvl>
    <w:lvl w:ilvl="4" w:tentative="0">
      <w:start w:val="1"/>
      <w:numFmt w:val="lowerLetter"/>
      <w:lvlText w:val="%5."/>
      <w:lvlJc w:val="left"/>
      <w:pPr>
        <w:ind w:left="3230" w:hanging="360"/>
      </w:pPr>
    </w:lvl>
    <w:lvl w:ilvl="5" w:tentative="0">
      <w:start w:val="1"/>
      <w:numFmt w:val="lowerRoman"/>
      <w:lvlText w:val="%6."/>
      <w:lvlJc w:val="right"/>
      <w:pPr>
        <w:ind w:left="3950" w:hanging="180"/>
      </w:pPr>
    </w:lvl>
    <w:lvl w:ilvl="6" w:tentative="0">
      <w:start w:val="1"/>
      <w:numFmt w:val="decimal"/>
      <w:lvlText w:val="%7."/>
      <w:lvlJc w:val="left"/>
      <w:pPr>
        <w:ind w:left="4670" w:hanging="360"/>
      </w:pPr>
    </w:lvl>
    <w:lvl w:ilvl="7" w:tentative="0">
      <w:start w:val="1"/>
      <w:numFmt w:val="lowerLetter"/>
      <w:lvlText w:val="%8."/>
      <w:lvlJc w:val="left"/>
      <w:pPr>
        <w:ind w:left="5390" w:hanging="360"/>
      </w:pPr>
    </w:lvl>
    <w:lvl w:ilvl="8" w:tentative="0">
      <w:start w:val="1"/>
      <w:numFmt w:val="lowerRoman"/>
      <w:lvlText w:val="%9."/>
      <w:lvlJc w:val="right"/>
      <w:pPr>
        <w:ind w:left="6110" w:hanging="180"/>
      </w:pPr>
    </w:lvl>
  </w:abstractNum>
  <w:abstractNum w:abstractNumId="41">
    <w:nsid w:val="658903CE"/>
    <w:multiLevelType w:val="multilevel"/>
    <w:tmpl w:val="658903CE"/>
    <w:lvl w:ilvl="0" w:tentative="0">
      <w:start w:val="1"/>
      <w:numFmt w:val="bullet"/>
      <w:lvlText w:val=""/>
      <w:lvlJc w:val="left"/>
      <w:pPr>
        <w:ind w:left="862" w:hanging="360"/>
      </w:pPr>
      <w:rPr>
        <w:rFonts w:hint="default" w:ascii="Wingdings" w:hAnsi="Wingdings"/>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42">
    <w:nsid w:val="671F5EDA"/>
    <w:multiLevelType w:val="multilevel"/>
    <w:tmpl w:val="671F5ED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678226E8"/>
    <w:multiLevelType w:val="multilevel"/>
    <w:tmpl w:val="678226E8"/>
    <w:lvl w:ilvl="0" w:tentative="0">
      <w:start w:val="1"/>
      <w:numFmt w:val="lowerLetter"/>
      <w:lvlText w:val="%1."/>
      <w:lvlJc w:val="left"/>
      <w:pPr>
        <w:ind w:left="644" w:hanging="360"/>
      </w:pPr>
      <w:rPr>
        <w:rFonts w:hint="default"/>
        <w:b/>
        <w:bCs/>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44">
    <w:nsid w:val="67F45A91"/>
    <w:multiLevelType w:val="multilevel"/>
    <w:tmpl w:val="67F45A91"/>
    <w:lvl w:ilvl="0" w:tentative="0">
      <w:start w:val="1"/>
      <w:numFmt w:val="bullet"/>
      <w:lvlText w:val=""/>
      <w:lvlJc w:val="left"/>
      <w:pPr>
        <w:ind w:left="720" w:hanging="360"/>
      </w:pPr>
      <w:rPr>
        <w:rFonts w:hint="default" w:ascii="Symbol" w:hAnsi="Symbol"/>
        <w:sz w:val="24"/>
        <w:szCs w:val="24"/>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6BCC3FAB"/>
    <w:multiLevelType w:val="multilevel"/>
    <w:tmpl w:val="6BCC3FA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6">
    <w:nsid w:val="6F5C62BA"/>
    <w:multiLevelType w:val="multilevel"/>
    <w:tmpl w:val="6F5C62BA"/>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7">
    <w:nsid w:val="707F763C"/>
    <w:multiLevelType w:val="multilevel"/>
    <w:tmpl w:val="707F763C"/>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8">
    <w:nsid w:val="730435E3"/>
    <w:multiLevelType w:val="multilevel"/>
    <w:tmpl w:val="730435E3"/>
    <w:lvl w:ilvl="0" w:tentative="0">
      <w:start w:val="7"/>
      <w:numFmt w:val="bullet"/>
      <w:lvlText w:val="-"/>
      <w:lvlJc w:val="left"/>
      <w:pPr>
        <w:ind w:left="720" w:hanging="360"/>
      </w:pPr>
      <w:rPr>
        <w:rFonts w:hint="default" w:ascii="Arial" w:hAnsi="Arial" w:cs="Arial"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9">
    <w:nsid w:val="77A55882"/>
    <w:multiLevelType w:val="multilevel"/>
    <w:tmpl w:val="77A55882"/>
    <w:lvl w:ilvl="0" w:tentative="0">
      <w:start w:val="0"/>
      <w:numFmt w:val="bullet"/>
      <w:lvlText w:val=""/>
      <w:lvlJc w:val="left"/>
      <w:pPr>
        <w:ind w:left="720" w:hanging="360"/>
      </w:pPr>
      <w:rPr>
        <w:rFonts w:hint="default" w:ascii="Wingdings" w:hAnsi="Wingdings" w:eastAsia="Wingdings" w:cs="Wingdings"/>
        <w:w w:val="100"/>
        <w:sz w:val="24"/>
        <w:szCs w:val="24"/>
        <w:lang w:val="es-ES" w:eastAsia="en-US" w:bidi="ar-S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0">
    <w:nsid w:val="7826151F"/>
    <w:multiLevelType w:val="multilevel"/>
    <w:tmpl w:val="7826151F"/>
    <w:lvl w:ilvl="0" w:tentative="0">
      <w:start w:val="1"/>
      <w:numFmt w:val="decimal"/>
      <w:pStyle w:val="2"/>
      <w:lvlText w:val="%1."/>
      <w:lvlJc w:val="left"/>
      <w:pPr>
        <w:ind w:left="502" w:hanging="360"/>
      </w:pPr>
      <w:rPr>
        <w:rFonts w:hint="default"/>
      </w:rPr>
    </w:lvl>
    <w:lvl w:ilvl="1" w:tentative="0">
      <w:start w:val="1"/>
      <w:numFmt w:val="decimal"/>
      <w:pStyle w:val="3"/>
      <w:isLgl/>
      <w:lvlText w:val="%1.%2"/>
      <w:lvlJc w:val="left"/>
      <w:pPr>
        <w:ind w:left="-1340" w:hanging="360"/>
      </w:pPr>
      <w:rPr>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2" w:tentative="0">
      <w:start w:val="1"/>
      <w:numFmt w:val="decimal"/>
      <w:isLgl/>
      <w:lvlText w:val="%1.%2.%3"/>
      <w:lvlJc w:val="left"/>
      <w:pPr>
        <w:ind w:left="-1690" w:hanging="720"/>
      </w:pPr>
      <w:rPr>
        <w:rFonts w:hint="default"/>
        <w:b/>
        <w:bCs w:val="0"/>
        <w:i w:val="0"/>
        <w:iCs/>
      </w:rPr>
    </w:lvl>
    <w:lvl w:ilvl="3" w:tentative="0">
      <w:start w:val="1"/>
      <w:numFmt w:val="decimal"/>
      <w:pStyle w:val="5"/>
      <w:isLgl/>
      <w:lvlText w:val="%1.%2.%3.%4"/>
      <w:lvlJc w:val="left"/>
      <w:pPr>
        <w:ind w:left="1190" w:hanging="1080"/>
      </w:pPr>
      <w:rPr>
        <w:rFonts w:hint="default"/>
        <w:b/>
        <w:bCs w:val="0"/>
        <w:i w:val="0"/>
        <w:iCs/>
      </w:rPr>
    </w:lvl>
    <w:lvl w:ilvl="4" w:tentative="0">
      <w:start w:val="1"/>
      <w:numFmt w:val="decimal"/>
      <w:isLgl/>
      <w:lvlText w:val="%1.%2.%3.%4.%5"/>
      <w:lvlJc w:val="left"/>
      <w:pPr>
        <w:ind w:left="1910" w:hanging="1080"/>
      </w:pPr>
      <w:rPr>
        <w:rFonts w:hint="default"/>
        <w:b w:val="0"/>
        <w:i/>
      </w:rPr>
    </w:lvl>
    <w:lvl w:ilvl="5" w:tentative="0">
      <w:start w:val="1"/>
      <w:numFmt w:val="decimal"/>
      <w:isLgl/>
      <w:lvlText w:val="%1.%2.%3.%4.%5.%6"/>
      <w:lvlJc w:val="left"/>
      <w:pPr>
        <w:ind w:left="2990" w:hanging="1440"/>
      </w:pPr>
      <w:rPr>
        <w:rFonts w:hint="default"/>
        <w:b w:val="0"/>
        <w:i/>
      </w:rPr>
    </w:lvl>
    <w:lvl w:ilvl="6" w:tentative="0">
      <w:start w:val="1"/>
      <w:numFmt w:val="decimal"/>
      <w:isLgl/>
      <w:lvlText w:val="%1.%2.%3.%4.%5.%6.%7"/>
      <w:lvlJc w:val="left"/>
      <w:pPr>
        <w:ind w:left="3710" w:hanging="1440"/>
      </w:pPr>
      <w:rPr>
        <w:rFonts w:hint="default"/>
        <w:b w:val="0"/>
        <w:i/>
      </w:rPr>
    </w:lvl>
    <w:lvl w:ilvl="7" w:tentative="0">
      <w:start w:val="1"/>
      <w:numFmt w:val="decimal"/>
      <w:isLgl/>
      <w:lvlText w:val="%1.%2.%3.%4.%5.%6.%7.%8"/>
      <w:lvlJc w:val="left"/>
      <w:pPr>
        <w:ind w:left="4790" w:hanging="1800"/>
      </w:pPr>
      <w:rPr>
        <w:rFonts w:hint="default"/>
        <w:b w:val="0"/>
        <w:i/>
      </w:rPr>
    </w:lvl>
    <w:lvl w:ilvl="8" w:tentative="0">
      <w:start w:val="1"/>
      <w:numFmt w:val="decimal"/>
      <w:isLgl/>
      <w:lvlText w:val="%1.%2.%3.%4.%5.%6.%7.%8.%9"/>
      <w:lvlJc w:val="left"/>
      <w:pPr>
        <w:ind w:left="5510" w:hanging="1800"/>
      </w:pPr>
      <w:rPr>
        <w:rFonts w:hint="default"/>
        <w:b w:val="0"/>
        <w:i/>
      </w:rPr>
    </w:lvl>
  </w:abstractNum>
  <w:abstractNum w:abstractNumId="51">
    <w:nsid w:val="783E23F2"/>
    <w:multiLevelType w:val="multilevel"/>
    <w:tmpl w:val="783E23F2"/>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2">
    <w:nsid w:val="788269A5"/>
    <w:multiLevelType w:val="multilevel"/>
    <w:tmpl w:val="788269A5"/>
    <w:lvl w:ilvl="0" w:tentative="0">
      <w:start w:val="1"/>
      <w:numFmt w:val="bullet"/>
      <w:lvlText w:val=""/>
      <w:lvlJc w:val="left"/>
      <w:pPr>
        <w:ind w:left="720" w:hanging="360"/>
      </w:pPr>
      <w:rPr>
        <w:rFonts w:hint="default" w:ascii="Symbol" w:hAnsi="Symbol"/>
        <w:sz w:val="24"/>
        <w:szCs w:val="24"/>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3">
    <w:nsid w:val="78982EBF"/>
    <w:multiLevelType w:val="multilevel"/>
    <w:tmpl w:val="78982E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0"/>
  </w:num>
  <w:num w:numId="2">
    <w:abstractNumId w:val="2"/>
  </w:num>
  <w:num w:numId="3">
    <w:abstractNumId w:val="0"/>
  </w:num>
  <w:num w:numId="4">
    <w:abstractNumId w:val="3"/>
  </w:num>
  <w:num w:numId="5">
    <w:abstractNumId w:val="1"/>
  </w:num>
  <w:num w:numId="6">
    <w:abstractNumId w:val="6"/>
  </w:num>
  <w:num w:numId="7">
    <w:abstractNumId w:val="50"/>
    <w:lvlOverride w:ilvl="0">
      <w:startOverride w:val="1"/>
    </w:lvlOverride>
  </w:num>
  <w:num w:numId="8">
    <w:abstractNumId w:val="53"/>
  </w:num>
  <w:num w:numId="9">
    <w:abstractNumId w:val="44"/>
  </w:num>
  <w:num w:numId="10">
    <w:abstractNumId w:val="14"/>
  </w:num>
  <w:num w:numId="11">
    <w:abstractNumId w:val="19"/>
  </w:num>
  <w:num w:numId="12">
    <w:abstractNumId w:val="21"/>
  </w:num>
  <w:num w:numId="13">
    <w:abstractNumId w:val="43"/>
  </w:num>
  <w:num w:numId="14">
    <w:abstractNumId w:val="13"/>
  </w:num>
  <w:num w:numId="15">
    <w:abstractNumId w:val="10"/>
  </w:num>
  <w:num w:numId="16">
    <w:abstractNumId w:val="38"/>
  </w:num>
  <w:num w:numId="17">
    <w:abstractNumId w:val="35"/>
  </w:num>
  <w:num w:numId="18">
    <w:abstractNumId w:val="18"/>
  </w:num>
  <w:num w:numId="19">
    <w:abstractNumId w:val="42"/>
  </w:num>
  <w:num w:numId="20">
    <w:abstractNumId w:val="23"/>
  </w:num>
  <w:num w:numId="21">
    <w:abstractNumId w:val="40"/>
  </w:num>
  <w:num w:numId="22">
    <w:abstractNumId w:val="5"/>
  </w:num>
  <w:num w:numId="23">
    <w:abstractNumId w:val="24"/>
  </w:num>
  <w:num w:numId="24">
    <w:abstractNumId w:val="36"/>
  </w:num>
  <w:num w:numId="25">
    <w:abstractNumId w:val="37"/>
  </w:num>
  <w:num w:numId="26">
    <w:abstractNumId w:val="51"/>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8"/>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39"/>
  </w:num>
  <w:num w:numId="33">
    <w:abstractNumId w:val="8"/>
  </w:num>
  <w:num w:numId="3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6"/>
  </w:num>
  <w:num w:numId="36">
    <w:abstractNumId w:val="22"/>
  </w:num>
  <w:num w:numId="37">
    <w:abstractNumId w:val="47"/>
  </w:num>
  <w:num w:numId="38">
    <w:abstractNumId w:val="4"/>
  </w:num>
  <w:num w:numId="39">
    <w:abstractNumId w:val="31"/>
  </w:num>
  <w:num w:numId="40">
    <w:abstractNumId w:val="17"/>
  </w:num>
  <w:num w:numId="41">
    <w:abstractNumId w:val="29"/>
  </w:num>
  <w:num w:numId="42">
    <w:abstractNumId w:val="41"/>
  </w:num>
  <w:num w:numId="43">
    <w:abstractNumId w:val="7"/>
  </w:num>
  <w:num w:numId="44">
    <w:abstractNumId w:val="26"/>
  </w:num>
  <w:num w:numId="45">
    <w:abstractNumId w:val="11"/>
  </w:num>
  <w:num w:numId="46">
    <w:abstractNumId w:val="9"/>
  </w:num>
  <w:num w:numId="47">
    <w:abstractNumId w:val="50"/>
    <w:lvlOverride w:ilvl="0">
      <w:startOverride w:val="10"/>
    </w:lvlOverride>
  </w:num>
  <w:num w:numId="48">
    <w:abstractNumId w:val="16"/>
  </w:num>
  <w:num w:numId="49">
    <w:abstractNumId w:val="15"/>
  </w:num>
  <w:num w:numId="50">
    <w:abstractNumId w:val="33"/>
  </w:num>
  <w:num w:numId="51">
    <w:abstractNumId w:val="27"/>
  </w:num>
  <w:num w:numId="52">
    <w:abstractNumId w:val="20"/>
  </w:num>
  <w:num w:numId="53">
    <w:abstractNumId w:val="12"/>
  </w:num>
  <w:num w:numId="54">
    <w:abstractNumId w:val="49"/>
  </w:num>
  <w:num w:numId="55">
    <w:abstractNumId w:val="45"/>
  </w:num>
  <w:num w:numId="56">
    <w:abstractNumId w:val="52"/>
  </w:num>
  <w:num w:numId="5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FCE"/>
    <w:rsid w:val="00000428"/>
    <w:rsid w:val="000010C7"/>
    <w:rsid w:val="00006D10"/>
    <w:rsid w:val="00007ED7"/>
    <w:rsid w:val="00012239"/>
    <w:rsid w:val="00015051"/>
    <w:rsid w:val="0002165E"/>
    <w:rsid w:val="00023AFC"/>
    <w:rsid w:val="00042B89"/>
    <w:rsid w:val="000438C0"/>
    <w:rsid w:val="00062A8C"/>
    <w:rsid w:val="00072F77"/>
    <w:rsid w:val="00077C80"/>
    <w:rsid w:val="0008192C"/>
    <w:rsid w:val="000968F5"/>
    <w:rsid w:val="00097DFD"/>
    <w:rsid w:val="000A1C64"/>
    <w:rsid w:val="000A6DAC"/>
    <w:rsid w:val="000A7198"/>
    <w:rsid w:val="000C5DBA"/>
    <w:rsid w:val="000C696B"/>
    <w:rsid w:val="000C6D1E"/>
    <w:rsid w:val="000D4C88"/>
    <w:rsid w:val="000E0F5C"/>
    <w:rsid w:val="000E6B4E"/>
    <w:rsid w:val="00100FDC"/>
    <w:rsid w:val="0011050A"/>
    <w:rsid w:val="00110524"/>
    <w:rsid w:val="00116C75"/>
    <w:rsid w:val="00134CDF"/>
    <w:rsid w:val="00145092"/>
    <w:rsid w:val="00170D51"/>
    <w:rsid w:val="0018185D"/>
    <w:rsid w:val="00184C57"/>
    <w:rsid w:val="0019037C"/>
    <w:rsid w:val="00192A6A"/>
    <w:rsid w:val="0019648E"/>
    <w:rsid w:val="001B1FE2"/>
    <w:rsid w:val="001B228B"/>
    <w:rsid w:val="001D0B79"/>
    <w:rsid w:val="001D42DA"/>
    <w:rsid w:val="001E044B"/>
    <w:rsid w:val="001E2258"/>
    <w:rsid w:val="001F13DE"/>
    <w:rsid w:val="00211DA8"/>
    <w:rsid w:val="00233017"/>
    <w:rsid w:val="00236D58"/>
    <w:rsid w:val="002375BC"/>
    <w:rsid w:val="002378D1"/>
    <w:rsid w:val="00242832"/>
    <w:rsid w:val="002572F6"/>
    <w:rsid w:val="00271B79"/>
    <w:rsid w:val="0028592A"/>
    <w:rsid w:val="002A2E11"/>
    <w:rsid w:val="002C2267"/>
    <w:rsid w:val="002C6CBF"/>
    <w:rsid w:val="002E03FA"/>
    <w:rsid w:val="002E674E"/>
    <w:rsid w:val="003024EE"/>
    <w:rsid w:val="0030556D"/>
    <w:rsid w:val="00307702"/>
    <w:rsid w:val="00311EAF"/>
    <w:rsid w:val="003435E3"/>
    <w:rsid w:val="00353D95"/>
    <w:rsid w:val="00362EEB"/>
    <w:rsid w:val="00377A1B"/>
    <w:rsid w:val="00391B7A"/>
    <w:rsid w:val="003A7AD8"/>
    <w:rsid w:val="003D6741"/>
    <w:rsid w:val="003F2067"/>
    <w:rsid w:val="003F354E"/>
    <w:rsid w:val="003F4F5E"/>
    <w:rsid w:val="00407CF6"/>
    <w:rsid w:val="00414277"/>
    <w:rsid w:val="004248F4"/>
    <w:rsid w:val="00433F8C"/>
    <w:rsid w:val="00440769"/>
    <w:rsid w:val="004531C5"/>
    <w:rsid w:val="00473440"/>
    <w:rsid w:val="004849B5"/>
    <w:rsid w:val="004936CB"/>
    <w:rsid w:val="004C1C0B"/>
    <w:rsid w:val="004C4C8A"/>
    <w:rsid w:val="004D2CD9"/>
    <w:rsid w:val="004D7658"/>
    <w:rsid w:val="0050087D"/>
    <w:rsid w:val="0055369E"/>
    <w:rsid w:val="0056483D"/>
    <w:rsid w:val="005740CA"/>
    <w:rsid w:val="005778A3"/>
    <w:rsid w:val="0058650E"/>
    <w:rsid w:val="0058708E"/>
    <w:rsid w:val="005C1BF1"/>
    <w:rsid w:val="005C3F8F"/>
    <w:rsid w:val="005E2183"/>
    <w:rsid w:val="005E39B9"/>
    <w:rsid w:val="005F57AE"/>
    <w:rsid w:val="00617EE0"/>
    <w:rsid w:val="00622D41"/>
    <w:rsid w:val="006348F0"/>
    <w:rsid w:val="00642548"/>
    <w:rsid w:val="00651ED8"/>
    <w:rsid w:val="0067248D"/>
    <w:rsid w:val="00682D28"/>
    <w:rsid w:val="0069261E"/>
    <w:rsid w:val="00694723"/>
    <w:rsid w:val="006A3AC8"/>
    <w:rsid w:val="006D2EB3"/>
    <w:rsid w:val="006D2FCE"/>
    <w:rsid w:val="006D50F0"/>
    <w:rsid w:val="006D7544"/>
    <w:rsid w:val="006D7CDE"/>
    <w:rsid w:val="006E32EB"/>
    <w:rsid w:val="006E5E30"/>
    <w:rsid w:val="006F5786"/>
    <w:rsid w:val="00706736"/>
    <w:rsid w:val="007142A0"/>
    <w:rsid w:val="00714B28"/>
    <w:rsid w:val="00727F2B"/>
    <w:rsid w:val="00734FAB"/>
    <w:rsid w:val="00735FCE"/>
    <w:rsid w:val="007400AA"/>
    <w:rsid w:val="007739A4"/>
    <w:rsid w:val="0079797A"/>
    <w:rsid w:val="007A131D"/>
    <w:rsid w:val="007C3BF1"/>
    <w:rsid w:val="007D39F6"/>
    <w:rsid w:val="007D62FC"/>
    <w:rsid w:val="007E1DD6"/>
    <w:rsid w:val="007E3656"/>
    <w:rsid w:val="007F5F2D"/>
    <w:rsid w:val="00807724"/>
    <w:rsid w:val="00813B84"/>
    <w:rsid w:val="00835F1C"/>
    <w:rsid w:val="008618F0"/>
    <w:rsid w:val="0087472F"/>
    <w:rsid w:val="00875779"/>
    <w:rsid w:val="00883F47"/>
    <w:rsid w:val="00892E1D"/>
    <w:rsid w:val="00895758"/>
    <w:rsid w:val="008A35E6"/>
    <w:rsid w:val="008A701E"/>
    <w:rsid w:val="008B02E8"/>
    <w:rsid w:val="008B610C"/>
    <w:rsid w:val="008B610D"/>
    <w:rsid w:val="008D1C53"/>
    <w:rsid w:val="008E4331"/>
    <w:rsid w:val="008F2449"/>
    <w:rsid w:val="008F6A21"/>
    <w:rsid w:val="00914B80"/>
    <w:rsid w:val="00920976"/>
    <w:rsid w:val="009545EF"/>
    <w:rsid w:val="00981668"/>
    <w:rsid w:val="009906C1"/>
    <w:rsid w:val="0099248A"/>
    <w:rsid w:val="009B256C"/>
    <w:rsid w:val="009C3AE3"/>
    <w:rsid w:val="009D1362"/>
    <w:rsid w:val="009D79B6"/>
    <w:rsid w:val="009E03DB"/>
    <w:rsid w:val="009E2EEC"/>
    <w:rsid w:val="00A0199B"/>
    <w:rsid w:val="00A032EF"/>
    <w:rsid w:val="00A10131"/>
    <w:rsid w:val="00A22302"/>
    <w:rsid w:val="00A30121"/>
    <w:rsid w:val="00A321C5"/>
    <w:rsid w:val="00A33B3B"/>
    <w:rsid w:val="00A4384B"/>
    <w:rsid w:val="00A7559A"/>
    <w:rsid w:val="00A84DE6"/>
    <w:rsid w:val="00A86B0C"/>
    <w:rsid w:val="00A91DC7"/>
    <w:rsid w:val="00A94B04"/>
    <w:rsid w:val="00AA4264"/>
    <w:rsid w:val="00AC4016"/>
    <w:rsid w:val="00AD6C67"/>
    <w:rsid w:val="00AE0FF2"/>
    <w:rsid w:val="00AE3028"/>
    <w:rsid w:val="00AE3A96"/>
    <w:rsid w:val="00AF2D4D"/>
    <w:rsid w:val="00B06E0A"/>
    <w:rsid w:val="00B26167"/>
    <w:rsid w:val="00B341CE"/>
    <w:rsid w:val="00B34B12"/>
    <w:rsid w:val="00B37DDB"/>
    <w:rsid w:val="00B41955"/>
    <w:rsid w:val="00B45A9C"/>
    <w:rsid w:val="00B63389"/>
    <w:rsid w:val="00B656CA"/>
    <w:rsid w:val="00B772D1"/>
    <w:rsid w:val="00B838A8"/>
    <w:rsid w:val="00B844A8"/>
    <w:rsid w:val="00B85B50"/>
    <w:rsid w:val="00B86B96"/>
    <w:rsid w:val="00B9082D"/>
    <w:rsid w:val="00B94AE9"/>
    <w:rsid w:val="00BA5CAE"/>
    <w:rsid w:val="00BB15EC"/>
    <w:rsid w:val="00BC2B99"/>
    <w:rsid w:val="00BE77A1"/>
    <w:rsid w:val="00BF18BC"/>
    <w:rsid w:val="00C1148C"/>
    <w:rsid w:val="00C25628"/>
    <w:rsid w:val="00C5231B"/>
    <w:rsid w:val="00C72CE8"/>
    <w:rsid w:val="00C74DFF"/>
    <w:rsid w:val="00C819CE"/>
    <w:rsid w:val="00C878D2"/>
    <w:rsid w:val="00C87E75"/>
    <w:rsid w:val="00CC2096"/>
    <w:rsid w:val="00CC64E6"/>
    <w:rsid w:val="00D04397"/>
    <w:rsid w:val="00D2187D"/>
    <w:rsid w:val="00D36673"/>
    <w:rsid w:val="00D422A6"/>
    <w:rsid w:val="00D47CAC"/>
    <w:rsid w:val="00D47E3A"/>
    <w:rsid w:val="00D518CB"/>
    <w:rsid w:val="00D666B9"/>
    <w:rsid w:val="00D708D4"/>
    <w:rsid w:val="00D810AE"/>
    <w:rsid w:val="00D82DD6"/>
    <w:rsid w:val="00DA7095"/>
    <w:rsid w:val="00DA787A"/>
    <w:rsid w:val="00DB06C8"/>
    <w:rsid w:val="00DB2DA6"/>
    <w:rsid w:val="00DB42D0"/>
    <w:rsid w:val="00DC5F9F"/>
    <w:rsid w:val="00DD601D"/>
    <w:rsid w:val="00DF06D6"/>
    <w:rsid w:val="00E3208D"/>
    <w:rsid w:val="00E45560"/>
    <w:rsid w:val="00E56492"/>
    <w:rsid w:val="00E618D8"/>
    <w:rsid w:val="00E939C1"/>
    <w:rsid w:val="00E943C1"/>
    <w:rsid w:val="00EA6D55"/>
    <w:rsid w:val="00EC5489"/>
    <w:rsid w:val="00ED6A85"/>
    <w:rsid w:val="00EF28FF"/>
    <w:rsid w:val="00EF5772"/>
    <w:rsid w:val="00EF6931"/>
    <w:rsid w:val="00F038F3"/>
    <w:rsid w:val="00F1348B"/>
    <w:rsid w:val="00F46886"/>
    <w:rsid w:val="00F50920"/>
    <w:rsid w:val="00F50A2D"/>
    <w:rsid w:val="00F50F40"/>
    <w:rsid w:val="00F67445"/>
    <w:rsid w:val="00F76FA2"/>
    <w:rsid w:val="00F90039"/>
    <w:rsid w:val="00F903ED"/>
    <w:rsid w:val="00F93380"/>
    <w:rsid w:val="00FB3E99"/>
    <w:rsid w:val="00FB5808"/>
    <w:rsid w:val="00FB5CD2"/>
    <w:rsid w:val="00FC2074"/>
    <w:rsid w:val="00FC209A"/>
    <w:rsid w:val="00FC4AF2"/>
    <w:rsid w:val="274E4C09"/>
    <w:rsid w:val="2B092C70"/>
    <w:rsid w:val="2B3B5CB2"/>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99" w:semiHidden="0" w:name="footnote text"/>
    <w:lsdException w:qFormat="1" w:unhideWhenUsed="0" w:uiPriority="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nhideWhenUsed="0" w:uiPriority="99" w:name="annotation reference"/>
    <w:lsdException w:qFormat="1" w:unhideWhenUsed="0" w:uiPriority="0" w:semiHidden="0"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Arial" w:hAnsi="Arial" w:eastAsiaTheme="minorHAnsi" w:cstheme="minorBidi"/>
      <w:kern w:val="0"/>
      <w:sz w:val="24"/>
      <w:szCs w:val="22"/>
      <w:lang w:val="es-CO" w:eastAsia="en-US" w:bidi="ar-SA"/>
      <w14:ligatures w14:val="none"/>
    </w:rPr>
  </w:style>
  <w:style w:type="paragraph" w:styleId="2">
    <w:name w:val="heading 1"/>
    <w:basedOn w:val="1"/>
    <w:next w:val="1"/>
    <w:link w:val="64"/>
    <w:autoRedefine/>
    <w:qFormat/>
    <w:uiPriority w:val="0"/>
    <w:pPr>
      <w:keepNext/>
      <w:keepLines/>
      <w:numPr>
        <w:ilvl w:val="0"/>
        <w:numId w:val="1"/>
      </w:numPr>
      <w:spacing w:before="240" w:after="0" w:line="360" w:lineRule="auto"/>
      <w:ind w:right="49"/>
      <w:jc w:val="center"/>
      <w:outlineLvl w:val="0"/>
    </w:pPr>
    <w:rPr>
      <w:rFonts w:cs="Arial" w:eastAsiaTheme="majorEastAsia"/>
      <w:b/>
      <w:color w:val="000000" w:themeColor="text1"/>
      <w:szCs w:val="32"/>
      <w14:textFill>
        <w14:solidFill>
          <w14:schemeClr w14:val="tx1"/>
        </w14:solidFill>
      </w14:textFill>
    </w:rPr>
  </w:style>
  <w:style w:type="paragraph" w:styleId="3">
    <w:name w:val="heading 2"/>
    <w:basedOn w:val="1"/>
    <w:next w:val="1"/>
    <w:link w:val="65"/>
    <w:autoRedefine/>
    <w:qFormat/>
    <w:uiPriority w:val="0"/>
    <w:pPr>
      <w:keepNext/>
      <w:numPr>
        <w:ilvl w:val="1"/>
        <w:numId w:val="1"/>
      </w:numPr>
      <w:spacing w:before="240" w:after="60" w:line="240" w:lineRule="auto"/>
      <w:ind w:left="142" w:right="49" w:firstLine="0"/>
      <w:outlineLvl w:val="1"/>
    </w:pPr>
    <w:rPr>
      <w:rFonts w:eastAsia="Times New Roman" w:cs="Arial"/>
      <w:b/>
      <w:bCs/>
      <w:color w:val="000000" w:themeColor="text1"/>
      <w:szCs w:val="24"/>
      <w:lang w:val="es-ES" w:eastAsia="es-ES" w:bidi="en-US"/>
      <w14:textFill>
        <w14:solidFill>
          <w14:schemeClr w14:val="tx1"/>
        </w14:solidFill>
      </w14:textFill>
    </w:rPr>
  </w:style>
  <w:style w:type="paragraph" w:styleId="4">
    <w:name w:val="heading 3"/>
    <w:basedOn w:val="1"/>
    <w:next w:val="1"/>
    <w:link w:val="69"/>
    <w:autoRedefine/>
    <w:unhideWhenUsed/>
    <w:qFormat/>
    <w:uiPriority w:val="0"/>
    <w:pPr>
      <w:keepNext/>
      <w:keepLines/>
      <w:spacing w:before="40" w:after="0"/>
      <w:ind w:left="142" w:right="49"/>
      <w:jc w:val="both"/>
      <w:outlineLvl w:val="2"/>
    </w:pPr>
    <w:rPr>
      <w:rFonts w:cs="Arial"/>
      <w:b/>
      <w:bCs/>
      <w:color w:val="000000" w:themeColor="text1"/>
      <w:szCs w:val="24"/>
      <w:lang w:val="es-MX" w:eastAsia="es-CO"/>
      <w14:textFill>
        <w14:solidFill>
          <w14:schemeClr w14:val="tx1"/>
        </w14:solidFill>
      </w14:textFill>
    </w:rPr>
  </w:style>
  <w:style w:type="paragraph" w:styleId="5">
    <w:name w:val="heading 4"/>
    <w:basedOn w:val="1"/>
    <w:next w:val="1"/>
    <w:link w:val="66"/>
    <w:autoRedefine/>
    <w:unhideWhenUsed/>
    <w:qFormat/>
    <w:uiPriority w:val="0"/>
    <w:pPr>
      <w:keepNext/>
      <w:keepLines/>
      <w:numPr>
        <w:ilvl w:val="3"/>
        <w:numId w:val="1"/>
      </w:numPr>
      <w:spacing w:before="40" w:after="0"/>
      <w:ind w:left="142" w:right="49" w:firstLine="0"/>
      <w:jc w:val="both"/>
      <w:outlineLvl w:val="3"/>
    </w:pPr>
    <w:rPr>
      <w:rFonts w:cs="Arial" w:eastAsiaTheme="majorEastAsia"/>
      <w:b/>
      <w:bCs/>
      <w:color w:val="000000" w:themeColor="text1"/>
      <w:szCs w:val="24"/>
      <w:lang w:val="es-MX"/>
      <w14:textFill>
        <w14:solidFill>
          <w14:schemeClr w14:val="tx1"/>
        </w14:solidFill>
      </w14:textFill>
    </w:rPr>
  </w:style>
  <w:style w:type="paragraph" w:styleId="6">
    <w:name w:val="heading 5"/>
    <w:basedOn w:val="1"/>
    <w:next w:val="1"/>
    <w:link w:val="70"/>
    <w:unhideWhenUsed/>
    <w:qFormat/>
    <w:uiPriority w:val="0"/>
    <w:pPr>
      <w:keepNext/>
      <w:keepLines/>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71"/>
    <w:unhideWhenUsed/>
    <w:qFormat/>
    <w:uiPriority w:val="0"/>
    <w:pPr>
      <w:keepNext/>
      <w:keepLines/>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72"/>
    <w:unhideWhenUsed/>
    <w:qFormat/>
    <w:uiPriority w:val="0"/>
    <w:pPr>
      <w:keepNext/>
      <w:keepLines/>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73"/>
    <w:unhideWhenUsed/>
    <w:qFormat/>
    <w:uiPriority w:val="0"/>
    <w:pPr>
      <w:keepNext/>
      <w:keepLines/>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74"/>
    <w:unhideWhenUsed/>
    <w:qFormat/>
    <w:uiPriority w:val="0"/>
    <w:pPr>
      <w:keepNext/>
      <w:keepLines/>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endnote reference"/>
    <w:basedOn w:val="11"/>
    <w:semiHidden/>
    <w:unhideWhenUsed/>
    <w:qFormat/>
    <w:uiPriority w:val="99"/>
    <w:rPr>
      <w:vertAlign w:val="superscript"/>
    </w:rPr>
  </w:style>
  <w:style w:type="character" w:styleId="14">
    <w:name w:val="line number"/>
    <w:basedOn w:val="11"/>
    <w:qFormat/>
    <w:uiPriority w:val="0"/>
  </w:style>
  <w:style w:type="character" w:styleId="15">
    <w:name w:val="annotation reference"/>
    <w:semiHidden/>
    <w:qFormat/>
    <w:uiPriority w:val="99"/>
    <w:rPr>
      <w:sz w:val="16"/>
      <w:szCs w:val="16"/>
    </w:rPr>
  </w:style>
  <w:style w:type="character" w:styleId="16">
    <w:name w:val="footnote reference"/>
    <w:unhideWhenUsed/>
    <w:qFormat/>
    <w:uiPriority w:val="99"/>
    <w:rPr>
      <w:vertAlign w:val="superscript"/>
    </w:rPr>
  </w:style>
  <w:style w:type="character" w:styleId="17">
    <w:name w:val="Hyperlink"/>
    <w:unhideWhenUsed/>
    <w:qFormat/>
    <w:uiPriority w:val="99"/>
    <w:rPr>
      <w:color w:val="0563C1"/>
      <w:u w:val="single"/>
    </w:rPr>
  </w:style>
  <w:style w:type="character" w:styleId="18">
    <w:name w:val="page number"/>
    <w:basedOn w:val="11"/>
    <w:qFormat/>
    <w:uiPriority w:val="0"/>
  </w:style>
  <w:style w:type="paragraph" w:styleId="19">
    <w:name w:val="List Continue 2"/>
    <w:basedOn w:val="1"/>
    <w:qFormat/>
    <w:uiPriority w:val="0"/>
    <w:pPr>
      <w:spacing w:after="120" w:line="240" w:lineRule="auto"/>
      <w:ind w:left="566"/>
    </w:pPr>
    <w:rPr>
      <w:rFonts w:ascii="Times New Roman" w:hAnsi="Times New Roman" w:eastAsia="Times New Roman" w:cs="Times New Roman"/>
      <w:sz w:val="20"/>
      <w:szCs w:val="20"/>
      <w:lang w:eastAsia="es-ES"/>
    </w:rPr>
  </w:style>
  <w:style w:type="paragraph" w:styleId="20">
    <w:name w:val="toc 3"/>
    <w:basedOn w:val="1"/>
    <w:next w:val="1"/>
    <w:autoRedefine/>
    <w:qFormat/>
    <w:uiPriority w:val="39"/>
    <w:pPr>
      <w:tabs>
        <w:tab w:val="right" w:leader="dot" w:pos="9486"/>
      </w:tabs>
      <w:spacing w:before="60" w:after="0" w:line="240" w:lineRule="auto"/>
      <w:ind w:left="624" w:hanging="624"/>
    </w:pPr>
    <w:rPr>
      <w:rFonts w:eastAsia="Times New Roman" w:cs="Times New Roman"/>
      <w:smallCaps/>
      <w:szCs w:val="20"/>
      <w:lang w:eastAsia="es-ES"/>
    </w:rPr>
  </w:style>
  <w:style w:type="paragraph" w:styleId="21">
    <w:name w:val="footnote text"/>
    <w:basedOn w:val="1"/>
    <w:link w:val="75"/>
    <w:unhideWhenUsed/>
    <w:qFormat/>
    <w:uiPriority w:val="99"/>
    <w:pPr>
      <w:spacing w:after="0" w:line="240" w:lineRule="auto"/>
    </w:pPr>
    <w:rPr>
      <w:rFonts w:ascii="Times New Roman" w:hAnsi="Times New Roman" w:eastAsia="Times New Roman" w:cs="Times New Roman"/>
      <w:sz w:val="20"/>
      <w:szCs w:val="20"/>
      <w:lang w:val="es-ES" w:eastAsia="es-ES"/>
    </w:rPr>
  </w:style>
  <w:style w:type="paragraph" w:styleId="22">
    <w:name w:val="toc 9"/>
    <w:basedOn w:val="1"/>
    <w:next w:val="1"/>
    <w:autoRedefine/>
    <w:unhideWhenUsed/>
    <w:qFormat/>
    <w:uiPriority w:val="39"/>
    <w:pPr>
      <w:spacing w:after="100"/>
      <w:ind w:left="1760"/>
    </w:pPr>
    <w:rPr>
      <w:rFonts w:eastAsiaTheme="minorEastAsia"/>
      <w:lang w:eastAsia="es-CO"/>
    </w:rPr>
  </w:style>
  <w:style w:type="paragraph" w:styleId="23">
    <w:name w:val="toc 7"/>
    <w:basedOn w:val="1"/>
    <w:next w:val="1"/>
    <w:autoRedefine/>
    <w:unhideWhenUsed/>
    <w:qFormat/>
    <w:uiPriority w:val="39"/>
    <w:pPr>
      <w:spacing w:after="100"/>
      <w:ind w:left="1320"/>
    </w:pPr>
    <w:rPr>
      <w:rFonts w:eastAsiaTheme="minorEastAsia"/>
      <w:lang w:eastAsia="es-CO"/>
    </w:rPr>
  </w:style>
  <w:style w:type="paragraph" w:styleId="24">
    <w:name w:val="toc 1"/>
    <w:basedOn w:val="1"/>
    <w:next w:val="1"/>
    <w:autoRedefine/>
    <w:qFormat/>
    <w:uiPriority w:val="39"/>
    <w:pPr>
      <w:spacing w:after="0" w:line="240" w:lineRule="auto"/>
      <w:jc w:val="both"/>
    </w:pPr>
    <w:rPr>
      <w:rFonts w:eastAsia="Times New Roman" w:cs="Times New Roman"/>
      <w:b/>
      <w:bCs/>
      <w:spacing w:val="-4"/>
      <w:szCs w:val="20"/>
      <w:lang w:eastAsia="es-ES"/>
    </w:rPr>
  </w:style>
  <w:style w:type="paragraph" w:styleId="25">
    <w:name w:val="Document Map"/>
    <w:basedOn w:val="1"/>
    <w:link w:val="89"/>
    <w:semiHidden/>
    <w:qFormat/>
    <w:uiPriority w:val="0"/>
    <w:pPr>
      <w:shd w:val="clear" w:color="auto" w:fill="000080"/>
      <w:spacing w:after="0" w:line="240" w:lineRule="auto"/>
    </w:pPr>
    <w:rPr>
      <w:rFonts w:ascii="Tahoma" w:hAnsi="Tahoma" w:eastAsia="Times New Roman" w:cs="Times New Roman"/>
      <w:kern w:val="2"/>
      <w:sz w:val="20"/>
      <w:szCs w:val="20"/>
      <w:lang w:eastAsia="es-ES"/>
      <w14:ligatures w14:val="standardContextual"/>
    </w:rPr>
  </w:style>
  <w:style w:type="paragraph" w:styleId="26">
    <w:name w:val="toc 8"/>
    <w:basedOn w:val="1"/>
    <w:next w:val="1"/>
    <w:autoRedefine/>
    <w:unhideWhenUsed/>
    <w:qFormat/>
    <w:uiPriority w:val="39"/>
    <w:pPr>
      <w:spacing w:after="100"/>
      <w:ind w:left="1540"/>
    </w:pPr>
    <w:rPr>
      <w:rFonts w:eastAsiaTheme="minorEastAsia"/>
      <w:lang w:eastAsia="es-CO"/>
    </w:rPr>
  </w:style>
  <w:style w:type="paragraph" w:styleId="27">
    <w:name w:val="toc 2"/>
    <w:basedOn w:val="1"/>
    <w:next w:val="1"/>
    <w:autoRedefine/>
    <w:qFormat/>
    <w:uiPriority w:val="39"/>
    <w:pPr>
      <w:spacing w:after="0" w:line="240" w:lineRule="auto"/>
    </w:pPr>
    <w:rPr>
      <w:rFonts w:ascii="Times New Roman" w:hAnsi="Times New Roman" w:eastAsia="Times New Roman" w:cs="Times New Roman"/>
      <w:b/>
      <w:smallCaps/>
      <w:szCs w:val="20"/>
      <w:lang w:eastAsia="es-ES"/>
    </w:rPr>
  </w:style>
  <w:style w:type="paragraph" w:styleId="28">
    <w:name w:val="endnote text"/>
    <w:basedOn w:val="1"/>
    <w:link w:val="100"/>
    <w:semiHidden/>
    <w:unhideWhenUsed/>
    <w:qFormat/>
    <w:uiPriority w:val="99"/>
    <w:pPr>
      <w:spacing w:after="0" w:line="240" w:lineRule="auto"/>
    </w:pPr>
    <w:rPr>
      <w:sz w:val="20"/>
      <w:szCs w:val="20"/>
    </w:rPr>
  </w:style>
  <w:style w:type="paragraph" w:styleId="29">
    <w:name w:val="List Continue 3"/>
    <w:basedOn w:val="1"/>
    <w:qFormat/>
    <w:uiPriority w:val="0"/>
    <w:pPr>
      <w:spacing w:after="120" w:line="240" w:lineRule="auto"/>
      <w:ind w:left="849"/>
    </w:pPr>
    <w:rPr>
      <w:rFonts w:ascii="Times New Roman" w:hAnsi="Times New Roman" w:eastAsia="Times New Roman" w:cs="Times New Roman"/>
      <w:sz w:val="20"/>
      <w:szCs w:val="20"/>
      <w:lang w:eastAsia="es-ES"/>
    </w:rPr>
  </w:style>
  <w:style w:type="paragraph" w:styleId="30">
    <w:name w:val="Balloon Text"/>
    <w:basedOn w:val="1"/>
    <w:link w:val="96"/>
    <w:qFormat/>
    <w:uiPriority w:val="0"/>
    <w:pPr>
      <w:spacing w:after="0" w:line="240" w:lineRule="auto"/>
    </w:pPr>
    <w:rPr>
      <w:rFonts w:ascii="Tahoma" w:hAnsi="Tahoma" w:eastAsia="Times New Roman" w:cs="Tahoma"/>
      <w:sz w:val="16"/>
      <w:szCs w:val="16"/>
      <w:lang w:eastAsia="es-ES"/>
    </w:rPr>
  </w:style>
  <w:style w:type="paragraph" w:styleId="31">
    <w:name w:val="annotation text"/>
    <w:basedOn w:val="1"/>
    <w:link w:val="94"/>
    <w:semiHidden/>
    <w:qFormat/>
    <w:uiPriority w:val="0"/>
    <w:pPr>
      <w:spacing w:before="60" w:after="60" w:line="240" w:lineRule="auto"/>
      <w:jc w:val="both"/>
    </w:pPr>
    <w:rPr>
      <w:rFonts w:ascii="Tahoma" w:hAnsi="Tahoma" w:eastAsia="Times New Roman" w:cs="Times New Roman"/>
      <w:kern w:val="2"/>
      <w:sz w:val="22"/>
      <w:szCs w:val="20"/>
      <w:lang w:val="es-MX" w:eastAsia="es-ES"/>
      <w14:ligatures w14:val="standardContextual"/>
    </w:rPr>
  </w:style>
  <w:style w:type="paragraph" w:styleId="32">
    <w:name w:val="toc 6"/>
    <w:basedOn w:val="1"/>
    <w:next w:val="1"/>
    <w:autoRedefine/>
    <w:unhideWhenUsed/>
    <w:qFormat/>
    <w:uiPriority w:val="39"/>
    <w:pPr>
      <w:spacing w:after="100"/>
      <w:ind w:left="1100"/>
    </w:pPr>
    <w:rPr>
      <w:rFonts w:eastAsiaTheme="minorEastAsia"/>
      <w:lang w:eastAsia="es-CO"/>
    </w:rPr>
  </w:style>
  <w:style w:type="paragraph" w:styleId="33">
    <w:name w:val="toc 5"/>
    <w:basedOn w:val="1"/>
    <w:next w:val="1"/>
    <w:autoRedefine/>
    <w:unhideWhenUsed/>
    <w:qFormat/>
    <w:uiPriority w:val="39"/>
    <w:pPr>
      <w:spacing w:after="100"/>
      <w:ind w:left="880"/>
    </w:pPr>
    <w:rPr>
      <w:rFonts w:eastAsiaTheme="minorEastAsia"/>
      <w:lang w:eastAsia="es-CO"/>
    </w:rPr>
  </w:style>
  <w:style w:type="paragraph" w:styleId="34">
    <w:name w:val="toc 4"/>
    <w:basedOn w:val="1"/>
    <w:next w:val="1"/>
    <w:autoRedefine/>
    <w:unhideWhenUsed/>
    <w:qFormat/>
    <w:uiPriority w:val="39"/>
    <w:pPr>
      <w:spacing w:after="100"/>
      <w:ind w:left="660"/>
    </w:pPr>
    <w:rPr>
      <w:rFonts w:eastAsiaTheme="minorEastAsia"/>
      <w:lang w:eastAsia="es-CO"/>
    </w:rPr>
  </w:style>
  <w:style w:type="paragraph" w:styleId="35">
    <w:name w:val="List Continue"/>
    <w:basedOn w:val="1"/>
    <w:qFormat/>
    <w:uiPriority w:val="0"/>
    <w:pPr>
      <w:spacing w:after="120" w:line="240" w:lineRule="auto"/>
      <w:ind w:left="283"/>
    </w:pPr>
    <w:rPr>
      <w:rFonts w:ascii="Times New Roman" w:hAnsi="Times New Roman" w:eastAsia="Times New Roman" w:cs="Times New Roman"/>
      <w:sz w:val="20"/>
      <w:szCs w:val="20"/>
      <w:lang w:eastAsia="es-ES"/>
    </w:rPr>
  </w:style>
  <w:style w:type="paragraph" w:styleId="36">
    <w:name w:val="List Continue 4"/>
    <w:basedOn w:val="1"/>
    <w:qFormat/>
    <w:uiPriority w:val="0"/>
    <w:pPr>
      <w:spacing w:after="120" w:line="240" w:lineRule="auto"/>
      <w:ind w:left="1132"/>
    </w:pPr>
    <w:rPr>
      <w:rFonts w:ascii="Times New Roman" w:hAnsi="Times New Roman" w:eastAsia="Times New Roman" w:cs="Times New Roman"/>
      <w:sz w:val="20"/>
      <w:szCs w:val="20"/>
      <w:lang w:eastAsia="es-ES"/>
    </w:rPr>
  </w:style>
  <w:style w:type="paragraph" w:styleId="37">
    <w:name w:val="Body Text 2"/>
    <w:basedOn w:val="1"/>
    <w:link w:val="82"/>
    <w:unhideWhenUsed/>
    <w:qFormat/>
    <w:uiPriority w:val="0"/>
    <w:pPr>
      <w:spacing w:after="120" w:line="480" w:lineRule="auto"/>
    </w:pPr>
  </w:style>
  <w:style w:type="paragraph" w:styleId="38">
    <w:name w:val="List 3"/>
    <w:basedOn w:val="1"/>
    <w:qFormat/>
    <w:uiPriority w:val="0"/>
    <w:pPr>
      <w:spacing w:after="0" w:line="240" w:lineRule="auto"/>
      <w:ind w:left="849" w:hanging="283"/>
    </w:pPr>
    <w:rPr>
      <w:rFonts w:ascii="Times New Roman" w:hAnsi="Times New Roman" w:eastAsia="Times New Roman" w:cs="Times New Roman"/>
      <w:sz w:val="20"/>
      <w:szCs w:val="20"/>
      <w:lang w:eastAsia="es-ES"/>
    </w:rPr>
  </w:style>
  <w:style w:type="paragraph" w:styleId="39">
    <w:name w:val="List Continue 5"/>
    <w:basedOn w:val="1"/>
    <w:qFormat/>
    <w:uiPriority w:val="0"/>
    <w:pPr>
      <w:spacing w:after="120" w:line="240" w:lineRule="auto"/>
      <w:ind w:left="1415"/>
    </w:pPr>
    <w:rPr>
      <w:rFonts w:ascii="Times New Roman" w:hAnsi="Times New Roman" w:eastAsia="Times New Roman" w:cs="Times New Roman"/>
      <w:sz w:val="20"/>
      <w:szCs w:val="20"/>
      <w:lang w:eastAsia="es-ES"/>
    </w:rPr>
  </w:style>
  <w:style w:type="paragraph" w:styleId="40">
    <w:name w:val="header"/>
    <w:basedOn w:val="1"/>
    <w:link w:val="60"/>
    <w:unhideWhenUsed/>
    <w:qFormat/>
    <w:uiPriority w:val="0"/>
    <w:pPr>
      <w:tabs>
        <w:tab w:val="center" w:pos="4419"/>
        <w:tab w:val="right" w:pos="8838"/>
      </w:tabs>
      <w:spacing w:after="0" w:line="240" w:lineRule="auto"/>
    </w:pPr>
  </w:style>
  <w:style w:type="paragraph" w:styleId="41">
    <w:name w:val="Body Text Indent 3"/>
    <w:basedOn w:val="1"/>
    <w:link w:val="76"/>
    <w:qFormat/>
    <w:uiPriority w:val="0"/>
    <w:pPr>
      <w:tabs>
        <w:tab w:val="left" w:pos="-720"/>
        <w:tab w:val="left" w:pos="0"/>
        <w:tab w:val="left" w:pos="720"/>
      </w:tabs>
      <w:suppressAutoHyphens/>
      <w:spacing w:after="0" w:line="240" w:lineRule="auto"/>
      <w:ind w:left="1440" w:hanging="1440"/>
      <w:jc w:val="both"/>
    </w:pPr>
    <w:rPr>
      <w:rFonts w:ascii="Times New Roman" w:hAnsi="Times New Roman" w:eastAsia="Times New Roman" w:cs="Times New Roman"/>
      <w:spacing w:val="-3"/>
      <w:szCs w:val="24"/>
      <w:lang w:eastAsia="es-ES"/>
    </w:rPr>
  </w:style>
  <w:style w:type="paragraph" w:styleId="42">
    <w:name w:val="Body Text Indent"/>
    <w:basedOn w:val="1"/>
    <w:link w:val="84"/>
    <w:unhideWhenUsed/>
    <w:qFormat/>
    <w:uiPriority w:val="0"/>
    <w:pPr>
      <w:spacing w:after="120"/>
      <w:ind w:left="283"/>
    </w:pPr>
  </w:style>
  <w:style w:type="paragraph" w:styleId="43">
    <w:name w:val="List 2"/>
    <w:basedOn w:val="1"/>
    <w:qFormat/>
    <w:uiPriority w:val="0"/>
    <w:pPr>
      <w:spacing w:after="0" w:line="240" w:lineRule="auto"/>
      <w:ind w:left="566" w:hanging="283"/>
    </w:pPr>
    <w:rPr>
      <w:rFonts w:ascii="Times New Roman" w:hAnsi="Times New Roman" w:eastAsia="Times New Roman" w:cs="Times New Roman"/>
      <w:sz w:val="20"/>
      <w:szCs w:val="20"/>
      <w:lang w:eastAsia="es-ES"/>
    </w:rPr>
  </w:style>
  <w:style w:type="paragraph" w:styleId="44">
    <w:name w:val="List Bullet 3"/>
    <w:basedOn w:val="1"/>
    <w:autoRedefine/>
    <w:qFormat/>
    <w:uiPriority w:val="0"/>
    <w:pPr>
      <w:numPr>
        <w:ilvl w:val="0"/>
        <w:numId w:val="2"/>
      </w:numPr>
      <w:spacing w:after="0" w:line="240" w:lineRule="auto"/>
    </w:pPr>
    <w:rPr>
      <w:rFonts w:ascii="Times New Roman" w:hAnsi="Times New Roman" w:eastAsia="Times New Roman" w:cs="Times New Roman"/>
      <w:sz w:val="20"/>
      <w:szCs w:val="20"/>
      <w:lang w:eastAsia="es-ES"/>
    </w:rPr>
  </w:style>
  <w:style w:type="paragraph" w:styleId="45">
    <w:name w:val="List Bullet 5"/>
    <w:basedOn w:val="1"/>
    <w:autoRedefine/>
    <w:qFormat/>
    <w:uiPriority w:val="0"/>
    <w:pPr>
      <w:numPr>
        <w:ilvl w:val="0"/>
        <w:numId w:val="3"/>
      </w:numPr>
      <w:spacing w:after="0" w:line="240" w:lineRule="auto"/>
    </w:pPr>
    <w:rPr>
      <w:rFonts w:ascii="Times New Roman" w:hAnsi="Times New Roman" w:eastAsia="Times New Roman" w:cs="Times New Roman"/>
      <w:sz w:val="20"/>
      <w:szCs w:val="20"/>
      <w:lang w:eastAsia="es-ES"/>
    </w:rPr>
  </w:style>
  <w:style w:type="paragraph" w:styleId="46">
    <w:name w:val="List"/>
    <w:basedOn w:val="1"/>
    <w:qFormat/>
    <w:uiPriority w:val="0"/>
    <w:pPr>
      <w:spacing w:after="0" w:line="240" w:lineRule="auto"/>
      <w:ind w:left="283" w:hanging="283"/>
    </w:pPr>
    <w:rPr>
      <w:rFonts w:ascii="Times New Roman" w:hAnsi="Times New Roman" w:eastAsia="Times New Roman" w:cs="Times New Roman"/>
      <w:sz w:val="20"/>
      <w:szCs w:val="20"/>
      <w:lang w:eastAsia="es-ES"/>
    </w:rPr>
  </w:style>
  <w:style w:type="paragraph" w:styleId="47">
    <w:name w:val="List 4"/>
    <w:basedOn w:val="1"/>
    <w:qFormat/>
    <w:uiPriority w:val="0"/>
    <w:pPr>
      <w:spacing w:after="0" w:line="240" w:lineRule="auto"/>
      <w:ind w:left="1132" w:hanging="283"/>
    </w:pPr>
    <w:rPr>
      <w:rFonts w:ascii="Times New Roman" w:hAnsi="Times New Roman" w:eastAsia="Times New Roman" w:cs="Times New Roman"/>
      <w:sz w:val="20"/>
      <w:szCs w:val="20"/>
      <w:lang w:eastAsia="es-ES"/>
    </w:rPr>
  </w:style>
  <w:style w:type="paragraph" w:styleId="48">
    <w:name w:val="List Bullet"/>
    <w:basedOn w:val="1"/>
    <w:autoRedefine/>
    <w:qFormat/>
    <w:uiPriority w:val="0"/>
    <w:pPr>
      <w:numPr>
        <w:ilvl w:val="0"/>
        <w:numId w:val="4"/>
      </w:numPr>
      <w:spacing w:after="0" w:line="240" w:lineRule="auto"/>
    </w:pPr>
    <w:rPr>
      <w:rFonts w:ascii="Times New Roman" w:hAnsi="Times New Roman" w:eastAsia="Times New Roman" w:cs="Times New Roman"/>
      <w:sz w:val="20"/>
      <w:szCs w:val="20"/>
      <w:lang w:eastAsia="es-ES"/>
    </w:rPr>
  </w:style>
  <w:style w:type="paragraph" w:styleId="49">
    <w:name w:val="List Bullet 2"/>
    <w:basedOn w:val="1"/>
    <w:qFormat/>
    <w:uiPriority w:val="0"/>
    <w:pPr>
      <w:spacing w:after="0" w:line="240" w:lineRule="auto"/>
      <w:ind w:left="566" w:hanging="283"/>
      <w:jc w:val="both"/>
    </w:pPr>
    <w:rPr>
      <w:rFonts w:eastAsia="Times New Roman" w:cs="Times New Roman"/>
      <w:szCs w:val="20"/>
      <w:lang w:eastAsia="es-ES"/>
    </w:rPr>
  </w:style>
  <w:style w:type="paragraph" w:styleId="50">
    <w:name w:val="List Bullet 4"/>
    <w:basedOn w:val="1"/>
    <w:autoRedefine/>
    <w:qFormat/>
    <w:uiPriority w:val="0"/>
    <w:pPr>
      <w:numPr>
        <w:ilvl w:val="0"/>
        <w:numId w:val="5"/>
      </w:numPr>
      <w:spacing w:after="0" w:line="240" w:lineRule="auto"/>
    </w:pPr>
    <w:rPr>
      <w:rFonts w:ascii="Times New Roman" w:hAnsi="Times New Roman" w:eastAsia="Times New Roman" w:cs="Times New Roman"/>
      <w:sz w:val="20"/>
      <w:szCs w:val="20"/>
      <w:lang w:eastAsia="es-ES"/>
    </w:rPr>
  </w:style>
  <w:style w:type="paragraph" w:styleId="51">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Cs w:val="24"/>
      <w:lang w:eastAsia="es-CO"/>
    </w:rPr>
  </w:style>
  <w:style w:type="paragraph" w:styleId="52">
    <w:name w:val="footer"/>
    <w:basedOn w:val="1"/>
    <w:link w:val="61"/>
    <w:unhideWhenUsed/>
    <w:qFormat/>
    <w:uiPriority w:val="0"/>
    <w:pPr>
      <w:tabs>
        <w:tab w:val="center" w:pos="4419"/>
        <w:tab w:val="right" w:pos="8838"/>
      </w:tabs>
      <w:spacing w:after="0" w:line="240" w:lineRule="auto"/>
    </w:pPr>
  </w:style>
  <w:style w:type="paragraph" w:styleId="53">
    <w:name w:val="Body Text Indent 2"/>
    <w:basedOn w:val="1"/>
    <w:link w:val="93"/>
    <w:qFormat/>
    <w:uiPriority w:val="0"/>
    <w:pPr>
      <w:spacing w:after="0" w:line="240" w:lineRule="auto"/>
      <w:ind w:left="1701" w:hanging="1701"/>
      <w:jc w:val="both"/>
    </w:pPr>
    <w:rPr>
      <w:rFonts w:eastAsia="Times New Roman" w:cs="Times New Roman"/>
      <w:spacing w:val="-4"/>
      <w:szCs w:val="20"/>
      <w:lang w:eastAsia="es-ES"/>
    </w:rPr>
  </w:style>
  <w:style w:type="paragraph" w:styleId="54">
    <w:name w:val="Normal Indent"/>
    <w:basedOn w:val="1"/>
    <w:qFormat/>
    <w:uiPriority w:val="0"/>
    <w:pPr>
      <w:spacing w:after="0" w:line="240" w:lineRule="auto"/>
      <w:ind w:left="708"/>
    </w:pPr>
    <w:rPr>
      <w:rFonts w:ascii="Times New Roman" w:hAnsi="Times New Roman" w:eastAsia="Times New Roman" w:cs="Times New Roman"/>
      <w:sz w:val="20"/>
      <w:szCs w:val="20"/>
      <w:lang w:eastAsia="es-ES"/>
    </w:rPr>
  </w:style>
  <w:style w:type="paragraph" w:styleId="55">
    <w:name w:val="Block Text"/>
    <w:basedOn w:val="1"/>
    <w:qFormat/>
    <w:uiPriority w:val="0"/>
    <w:pPr>
      <w:tabs>
        <w:tab w:val="left" w:pos="-720"/>
      </w:tabs>
      <w:suppressAutoHyphens/>
      <w:spacing w:after="0" w:line="240" w:lineRule="auto"/>
      <w:ind w:left="567" w:right="616"/>
      <w:jc w:val="both"/>
    </w:pPr>
    <w:rPr>
      <w:rFonts w:eastAsia="Times New Roman" w:cs="Times New Roman"/>
      <w:b/>
      <w:spacing w:val="-3"/>
      <w:sz w:val="26"/>
      <w:szCs w:val="20"/>
      <w:lang w:val="es-ES" w:eastAsia="es-ES"/>
    </w:rPr>
  </w:style>
  <w:style w:type="paragraph" w:styleId="56">
    <w:name w:val="Body Text"/>
    <w:basedOn w:val="1"/>
    <w:link w:val="81"/>
    <w:unhideWhenUsed/>
    <w:qFormat/>
    <w:uiPriority w:val="0"/>
    <w:pPr>
      <w:spacing w:after="120"/>
    </w:pPr>
  </w:style>
  <w:style w:type="paragraph" w:styleId="57">
    <w:name w:val="Body Text 3"/>
    <w:basedOn w:val="1"/>
    <w:link w:val="85"/>
    <w:unhideWhenUsed/>
    <w:qFormat/>
    <w:uiPriority w:val="0"/>
    <w:pPr>
      <w:spacing w:after="120"/>
    </w:pPr>
    <w:rPr>
      <w:sz w:val="16"/>
      <w:szCs w:val="16"/>
    </w:rPr>
  </w:style>
  <w:style w:type="paragraph" w:styleId="58">
    <w:name w:val="Title"/>
    <w:basedOn w:val="1"/>
    <w:link w:val="97"/>
    <w:qFormat/>
    <w:uiPriority w:val="10"/>
    <w:pPr>
      <w:spacing w:after="0" w:line="240" w:lineRule="auto"/>
      <w:jc w:val="center"/>
    </w:pPr>
    <w:rPr>
      <w:rFonts w:eastAsia="Times New Roman" w:cs="Times New Roman"/>
      <w:b/>
      <w:szCs w:val="20"/>
      <w:lang w:eastAsia="es-ES"/>
    </w:rPr>
  </w:style>
  <w:style w:type="table" w:styleId="59">
    <w:name w:val="Table Grid"/>
    <w:basedOn w:val="12"/>
    <w:qFormat/>
    <w:uiPriority w:val="59"/>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
    <w:name w:val="Encabezado Car"/>
    <w:basedOn w:val="11"/>
    <w:link w:val="40"/>
    <w:qFormat/>
    <w:uiPriority w:val="99"/>
  </w:style>
  <w:style w:type="character" w:customStyle="1" w:styleId="61">
    <w:name w:val="Pie de página Car"/>
    <w:basedOn w:val="11"/>
    <w:link w:val="52"/>
    <w:qFormat/>
    <w:uiPriority w:val="99"/>
  </w:style>
  <w:style w:type="table" w:customStyle="1" w:styleId="62">
    <w:name w:val="Table Normal"/>
    <w:semiHidden/>
    <w:unhideWhenUsed/>
    <w:qFormat/>
    <w:uiPriority w:val="2"/>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paragraph" w:customStyle="1" w:styleId="63">
    <w:name w:val="Table Paragraph"/>
    <w:basedOn w:val="1"/>
    <w:qFormat/>
    <w:uiPriority w:val="1"/>
    <w:pPr>
      <w:widowControl w:val="0"/>
      <w:autoSpaceDE w:val="0"/>
      <w:autoSpaceDN w:val="0"/>
      <w:spacing w:after="0" w:line="240" w:lineRule="auto"/>
    </w:pPr>
    <w:rPr>
      <w:rFonts w:ascii="Calibri" w:hAnsi="Calibri" w:eastAsia="Calibri" w:cs="Calibri"/>
      <w:lang w:val="es-ES"/>
    </w:rPr>
  </w:style>
  <w:style w:type="character" w:customStyle="1" w:styleId="64">
    <w:name w:val="Título 1 Car"/>
    <w:basedOn w:val="11"/>
    <w:link w:val="2"/>
    <w:qFormat/>
    <w:uiPriority w:val="0"/>
    <w:rPr>
      <w:rFonts w:ascii="Arial" w:hAnsi="Arial" w:cs="Arial" w:eastAsiaTheme="majorEastAsia"/>
      <w:b/>
      <w:color w:val="000000" w:themeColor="text1"/>
      <w:kern w:val="0"/>
      <w:sz w:val="24"/>
      <w:szCs w:val="32"/>
      <w14:textFill>
        <w14:solidFill>
          <w14:schemeClr w14:val="tx1"/>
        </w14:solidFill>
      </w14:textFill>
      <w14:ligatures w14:val="none"/>
    </w:rPr>
  </w:style>
  <w:style w:type="character" w:customStyle="1" w:styleId="65">
    <w:name w:val="Título 2 Car"/>
    <w:basedOn w:val="11"/>
    <w:link w:val="3"/>
    <w:qFormat/>
    <w:uiPriority w:val="0"/>
    <w:rPr>
      <w:rFonts w:ascii="Arial" w:hAnsi="Arial" w:eastAsia="Times New Roman" w:cs="Arial"/>
      <w:b/>
      <w:bCs/>
      <w:color w:val="000000" w:themeColor="text1"/>
      <w:kern w:val="0"/>
      <w:sz w:val="24"/>
      <w:szCs w:val="24"/>
      <w:lang w:val="es-ES" w:eastAsia="es-ES" w:bidi="en-US"/>
      <w14:textFill>
        <w14:solidFill>
          <w14:schemeClr w14:val="tx1"/>
        </w14:solidFill>
      </w14:textFill>
      <w14:ligatures w14:val="none"/>
    </w:rPr>
  </w:style>
  <w:style w:type="character" w:customStyle="1" w:styleId="66">
    <w:name w:val="Título 4 Car"/>
    <w:basedOn w:val="11"/>
    <w:link w:val="5"/>
    <w:qFormat/>
    <w:uiPriority w:val="0"/>
    <w:rPr>
      <w:rFonts w:ascii="Arial" w:hAnsi="Arial" w:cs="Arial" w:eastAsiaTheme="majorEastAsia"/>
      <w:b/>
      <w:bCs/>
      <w:color w:val="000000" w:themeColor="text1"/>
      <w:kern w:val="0"/>
      <w:sz w:val="24"/>
      <w:szCs w:val="24"/>
      <w:lang w:val="es-MX"/>
      <w14:textFill>
        <w14:solidFill>
          <w14:schemeClr w14:val="tx1"/>
        </w14:solidFill>
      </w14:textFill>
      <w14:ligatures w14:val="none"/>
    </w:rPr>
  </w:style>
  <w:style w:type="paragraph" w:styleId="67">
    <w:name w:val="List Paragraph"/>
    <w:basedOn w:val="1"/>
    <w:link w:val="68"/>
    <w:qFormat/>
    <w:uiPriority w:val="34"/>
    <w:pPr>
      <w:ind w:left="720"/>
      <w:contextualSpacing/>
    </w:pPr>
  </w:style>
  <w:style w:type="character" w:customStyle="1" w:styleId="68">
    <w:name w:val="Párrafo de lista Car"/>
    <w:basedOn w:val="11"/>
    <w:link w:val="67"/>
    <w:qFormat/>
    <w:uiPriority w:val="34"/>
    <w:rPr>
      <w:rFonts w:ascii="Arial" w:hAnsi="Arial"/>
      <w:kern w:val="0"/>
      <w:sz w:val="24"/>
      <w14:ligatures w14:val="none"/>
    </w:rPr>
  </w:style>
  <w:style w:type="character" w:customStyle="1" w:styleId="69">
    <w:name w:val="Título 3 Car"/>
    <w:basedOn w:val="11"/>
    <w:link w:val="4"/>
    <w:qFormat/>
    <w:uiPriority w:val="0"/>
    <w:rPr>
      <w:rFonts w:ascii="Arial" w:hAnsi="Arial" w:cs="Arial"/>
      <w:b/>
      <w:bCs/>
      <w:color w:val="000000" w:themeColor="text1"/>
      <w:kern w:val="0"/>
      <w:sz w:val="24"/>
      <w:szCs w:val="24"/>
      <w:lang w:val="es-MX" w:eastAsia="es-CO"/>
      <w14:textFill>
        <w14:solidFill>
          <w14:schemeClr w14:val="tx1"/>
        </w14:solidFill>
      </w14:textFill>
      <w14:ligatures w14:val="none"/>
    </w:rPr>
  </w:style>
  <w:style w:type="character" w:customStyle="1" w:styleId="70">
    <w:name w:val="Título 5 Car"/>
    <w:basedOn w:val="11"/>
    <w:link w:val="6"/>
    <w:qFormat/>
    <w:uiPriority w:val="0"/>
    <w:rPr>
      <w:rFonts w:asciiTheme="majorHAnsi" w:hAnsiTheme="majorHAnsi" w:eastAsiaTheme="majorEastAsia" w:cstheme="majorBidi"/>
      <w:color w:val="2F5597" w:themeColor="accent1" w:themeShade="BF"/>
      <w:kern w:val="0"/>
      <w:sz w:val="24"/>
      <w14:ligatures w14:val="none"/>
    </w:rPr>
  </w:style>
  <w:style w:type="character" w:customStyle="1" w:styleId="71">
    <w:name w:val="Título 6 Car"/>
    <w:basedOn w:val="11"/>
    <w:link w:val="7"/>
    <w:qFormat/>
    <w:uiPriority w:val="0"/>
    <w:rPr>
      <w:rFonts w:asciiTheme="majorHAnsi" w:hAnsiTheme="majorHAnsi" w:eastAsiaTheme="majorEastAsia" w:cstheme="majorBidi"/>
      <w:color w:val="203864" w:themeColor="accent1" w:themeShade="80"/>
      <w:kern w:val="0"/>
      <w:sz w:val="24"/>
      <w14:ligatures w14:val="none"/>
    </w:rPr>
  </w:style>
  <w:style w:type="character" w:customStyle="1" w:styleId="72">
    <w:name w:val="Título 7 Car"/>
    <w:basedOn w:val="11"/>
    <w:link w:val="8"/>
    <w:qFormat/>
    <w:uiPriority w:val="0"/>
    <w:rPr>
      <w:rFonts w:asciiTheme="majorHAnsi" w:hAnsiTheme="majorHAnsi" w:eastAsiaTheme="majorEastAsia" w:cstheme="majorBidi"/>
      <w:i/>
      <w:iCs/>
      <w:color w:val="203864" w:themeColor="accent1" w:themeShade="80"/>
      <w:kern w:val="0"/>
      <w:sz w:val="24"/>
      <w14:ligatures w14:val="none"/>
    </w:rPr>
  </w:style>
  <w:style w:type="character" w:customStyle="1" w:styleId="73">
    <w:name w:val="Título 8 Car"/>
    <w:basedOn w:val="11"/>
    <w:link w:val="9"/>
    <w:qFormat/>
    <w:uiPriority w:val="9"/>
    <w:rPr>
      <w:rFonts w:asciiTheme="majorHAnsi" w:hAnsiTheme="majorHAnsi" w:eastAsiaTheme="majorEastAsia" w:cstheme="majorBidi"/>
      <w:color w:val="262626" w:themeColor="text1" w:themeTint="D9"/>
      <w:kern w:val="0"/>
      <w:sz w:val="21"/>
      <w:szCs w:val="21"/>
      <w14:textFill>
        <w14:solidFill>
          <w14:schemeClr w14:val="tx1">
            <w14:lumMod w14:val="85000"/>
            <w14:lumOff w14:val="15000"/>
          </w14:schemeClr>
        </w14:solidFill>
      </w14:textFill>
      <w14:ligatures w14:val="none"/>
    </w:rPr>
  </w:style>
  <w:style w:type="character" w:customStyle="1" w:styleId="74">
    <w:name w:val="Título 9 Car"/>
    <w:basedOn w:val="11"/>
    <w:link w:val="10"/>
    <w:qFormat/>
    <w:uiPriority w:val="0"/>
    <w:rPr>
      <w:rFonts w:asciiTheme="majorHAnsi" w:hAnsiTheme="majorHAnsi" w:eastAsiaTheme="majorEastAsia" w:cstheme="majorBidi"/>
      <w:i/>
      <w:iCs/>
      <w:color w:val="262626" w:themeColor="text1" w:themeTint="D9"/>
      <w:kern w:val="0"/>
      <w:sz w:val="21"/>
      <w:szCs w:val="21"/>
      <w14:textFill>
        <w14:solidFill>
          <w14:schemeClr w14:val="tx1">
            <w14:lumMod w14:val="85000"/>
            <w14:lumOff w14:val="15000"/>
          </w14:schemeClr>
        </w14:solidFill>
      </w14:textFill>
      <w14:ligatures w14:val="none"/>
    </w:rPr>
  </w:style>
  <w:style w:type="character" w:customStyle="1" w:styleId="75">
    <w:name w:val="Texto nota pie Car"/>
    <w:basedOn w:val="11"/>
    <w:link w:val="21"/>
    <w:qFormat/>
    <w:uiPriority w:val="99"/>
    <w:rPr>
      <w:rFonts w:ascii="Times New Roman" w:hAnsi="Times New Roman" w:eastAsia="Times New Roman" w:cs="Times New Roman"/>
      <w:kern w:val="0"/>
      <w:sz w:val="20"/>
      <w:szCs w:val="20"/>
      <w:lang w:val="es-ES" w:eastAsia="es-ES"/>
      <w14:ligatures w14:val="none"/>
    </w:rPr>
  </w:style>
  <w:style w:type="character" w:customStyle="1" w:styleId="76">
    <w:name w:val="Sangría 3 de t. independiente Car"/>
    <w:basedOn w:val="11"/>
    <w:link w:val="41"/>
    <w:qFormat/>
    <w:uiPriority w:val="0"/>
    <w:rPr>
      <w:rFonts w:ascii="Times New Roman" w:hAnsi="Times New Roman" w:eastAsia="Times New Roman" w:cs="Times New Roman"/>
      <w:spacing w:val="-3"/>
      <w:kern w:val="0"/>
      <w:sz w:val="24"/>
      <w:szCs w:val="24"/>
      <w:lang w:eastAsia="es-ES"/>
      <w14:ligatures w14:val="none"/>
    </w:rPr>
  </w:style>
  <w:style w:type="paragraph" w:customStyle="1" w:styleId="77">
    <w:name w:val="Estilo1"/>
    <w:basedOn w:val="4"/>
    <w:link w:val="78"/>
    <w:qFormat/>
    <w:uiPriority w:val="0"/>
    <w:pPr>
      <w:keepLines w:val="0"/>
      <w:spacing w:before="240" w:after="60" w:line="240" w:lineRule="auto"/>
    </w:pPr>
    <w:rPr>
      <w:rFonts w:eastAsia="Times New Roman" w:cs="Times New Roman"/>
      <w:color w:val="auto"/>
      <w:szCs w:val="20"/>
      <w:lang w:eastAsia="es-ES"/>
    </w:rPr>
  </w:style>
  <w:style w:type="character" w:customStyle="1" w:styleId="78">
    <w:name w:val="Estilo1 Car"/>
    <w:basedOn w:val="68"/>
    <w:link w:val="77"/>
    <w:qFormat/>
    <w:uiPriority w:val="0"/>
    <w:rPr>
      <w:rFonts w:ascii="Arial" w:hAnsi="Arial" w:eastAsia="Times New Roman" w:cs="Times New Roman"/>
      <w:b/>
      <w:bCs/>
      <w:kern w:val="0"/>
      <w:sz w:val="24"/>
      <w:szCs w:val="20"/>
      <w:lang w:eastAsia="es-ES"/>
      <w14:ligatures w14:val="none"/>
    </w:rPr>
  </w:style>
  <w:style w:type="character" w:customStyle="1" w:styleId="79">
    <w:name w:val="Intense Reference"/>
    <w:basedOn w:val="11"/>
    <w:qFormat/>
    <w:uiPriority w:val="32"/>
    <w:rPr>
      <w:b/>
      <w:bCs/>
      <w:smallCaps/>
      <w:color w:val="4472C4" w:themeColor="accent1"/>
      <w:spacing w:val="5"/>
      <w14:textFill>
        <w14:solidFill>
          <w14:schemeClr w14:val="accent1"/>
        </w14:solidFill>
      </w14:textFill>
    </w:rPr>
  </w:style>
  <w:style w:type="paragraph" w:customStyle="1" w:styleId="80">
    <w:name w:val="Texto predeterminado"/>
    <w:basedOn w:val="1"/>
    <w:qFormat/>
    <w:uiPriority w:val="0"/>
    <w:pPr>
      <w:spacing w:after="0" w:line="240" w:lineRule="auto"/>
    </w:pPr>
    <w:rPr>
      <w:rFonts w:ascii="Times New Roman" w:hAnsi="Times New Roman" w:eastAsia="Times New Roman" w:cs="Times New Roman"/>
      <w:color w:val="00000A"/>
      <w:szCs w:val="20"/>
      <w:lang w:val="en-US" w:eastAsia="es-ES"/>
    </w:rPr>
  </w:style>
  <w:style w:type="character" w:customStyle="1" w:styleId="81">
    <w:name w:val="Texto independiente Car"/>
    <w:basedOn w:val="11"/>
    <w:link w:val="56"/>
    <w:qFormat/>
    <w:uiPriority w:val="0"/>
    <w:rPr>
      <w:rFonts w:ascii="Arial" w:hAnsi="Arial"/>
      <w:kern w:val="0"/>
      <w:sz w:val="24"/>
      <w14:ligatures w14:val="none"/>
    </w:rPr>
  </w:style>
  <w:style w:type="character" w:customStyle="1" w:styleId="82">
    <w:name w:val="Texto independiente 2 Car"/>
    <w:basedOn w:val="11"/>
    <w:link w:val="37"/>
    <w:qFormat/>
    <w:uiPriority w:val="0"/>
    <w:rPr>
      <w:rFonts w:ascii="Arial" w:hAnsi="Arial"/>
      <w:kern w:val="0"/>
      <w:sz w:val="24"/>
      <w14:ligatures w14:val="none"/>
    </w:rPr>
  </w:style>
  <w:style w:type="paragraph" w:customStyle="1" w:styleId="83">
    <w:name w:val="Sangría 3 de t. independiente1"/>
    <w:qFormat/>
    <w:uiPriority w:val="0"/>
    <w:pPr>
      <w:widowControl w:val="0"/>
      <w:tabs>
        <w:tab w:val="left" w:pos="-720"/>
      </w:tabs>
      <w:suppressAutoHyphens/>
      <w:spacing w:after="0" w:line="240" w:lineRule="auto"/>
      <w:jc w:val="both"/>
    </w:pPr>
    <w:rPr>
      <w:rFonts w:ascii="CG Times 12pt Italic" w:hAnsi="CG Times 12pt Italic" w:eastAsia="Times New Roman" w:cs="Times New Roman"/>
      <w:i/>
      <w:spacing w:val="-3"/>
      <w:kern w:val="0"/>
      <w:sz w:val="24"/>
      <w:szCs w:val="20"/>
      <w:lang w:eastAsia="es-ES" w:bidi="ar-SA"/>
      <w14:ligatures w14:val="none"/>
    </w:rPr>
  </w:style>
  <w:style w:type="character" w:customStyle="1" w:styleId="84">
    <w:name w:val="Sangría de texto normal Car"/>
    <w:basedOn w:val="11"/>
    <w:link w:val="42"/>
    <w:qFormat/>
    <w:uiPriority w:val="0"/>
    <w:rPr>
      <w:rFonts w:ascii="Arial" w:hAnsi="Arial"/>
      <w:kern w:val="0"/>
      <w:sz w:val="24"/>
      <w14:ligatures w14:val="none"/>
    </w:rPr>
  </w:style>
  <w:style w:type="character" w:customStyle="1" w:styleId="85">
    <w:name w:val="Texto independiente 3 Car"/>
    <w:basedOn w:val="11"/>
    <w:link w:val="57"/>
    <w:qFormat/>
    <w:uiPriority w:val="0"/>
    <w:rPr>
      <w:rFonts w:ascii="Arial" w:hAnsi="Arial"/>
      <w:kern w:val="0"/>
      <w:sz w:val="16"/>
      <w:szCs w:val="16"/>
      <w14:ligatures w14:val="none"/>
    </w:rPr>
  </w:style>
  <w:style w:type="paragraph" w:customStyle="1" w:styleId="86">
    <w:name w:val="Body Text 21"/>
    <w:basedOn w:val="1"/>
    <w:qFormat/>
    <w:uiPriority w:val="0"/>
    <w:pPr>
      <w:widowControl w:val="0"/>
      <w:tabs>
        <w:tab w:val="left" w:pos="-720"/>
      </w:tabs>
      <w:suppressAutoHyphens/>
      <w:spacing w:after="0" w:line="240" w:lineRule="auto"/>
      <w:jc w:val="both"/>
    </w:pPr>
    <w:rPr>
      <w:rFonts w:eastAsia="Times New Roman" w:cs="Times New Roman"/>
      <w:spacing w:val="-4"/>
      <w:szCs w:val="20"/>
      <w:lang w:eastAsia="es-ES"/>
    </w:rPr>
  </w:style>
  <w:style w:type="paragraph" w:customStyle="1" w:styleId="87">
    <w:name w:val="Default"/>
    <w:qFormat/>
    <w:uiPriority w:val="0"/>
    <w:pPr>
      <w:autoSpaceDE w:val="0"/>
      <w:autoSpaceDN w:val="0"/>
      <w:adjustRightInd w:val="0"/>
      <w:spacing w:after="0" w:line="240" w:lineRule="auto"/>
    </w:pPr>
    <w:rPr>
      <w:rFonts w:ascii="Arial" w:hAnsi="Arial" w:eastAsia="Calibri" w:cs="Arial"/>
      <w:color w:val="000000"/>
      <w:kern w:val="0"/>
      <w:sz w:val="24"/>
      <w:szCs w:val="24"/>
      <w:lang w:val="es-ES" w:eastAsia="es-ES" w:bidi="ar-SA"/>
      <w14:ligatures w14:val="none"/>
    </w:rPr>
  </w:style>
  <w:style w:type="paragraph" w:customStyle="1" w:styleId="88">
    <w:name w:val="Texto independiente 21"/>
    <w:basedOn w:val="1"/>
    <w:qFormat/>
    <w:uiPriority w:val="0"/>
    <w:pPr>
      <w:widowControl w:val="0"/>
      <w:tabs>
        <w:tab w:val="left" w:pos="-720"/>
        <w:tab w:val="left" w:pos="0"/>
      </w:tabs>
      <w:suppressAutoHyphens/>
      <w:spacing w:after="0" w:line="240" w:lineRule="auto"/>
      <w:jc w:val="both"/>
    </w:pPr>
    <w:rPr>
      <w:rFonts w:eastAsia="Times New Roman" w:cs="Times New Roman"/>
      <w:spacing w:val="-4"/>
      <w:szCs w:val="20"/>
      <w:lang w:val="es-ES" w:eastAsia="es-ES"/>
    </w:rPr>
  </w:style>
  <w:style w:type="character" w:customStyle="1" w:styleId="89">
    <w:name w:val="Mapa del documento Car"/>
    <w:basedOn w:val="11"/>
    <w:link w:val="25"/>
    <w:semiHidden/>
    <w:qFormat/>
    <w:uiPriority w:val="0"/>
    <w:rPr>
      <w:rFonts w:ascii="Tahoma" w:hAnsi="Tahoma" w:eastAsia="Times New Roman" w:cs="Times New Roman"/>
      <w:sz w:val="20"/>
      <w:szCs w:val="20"/>
      <w:shd w:val="clear" w:color="auto" w:fill="000080"/>
      <w:lang w:eastAsia="es-ES"/>
    </w:rPr>
  </w:style>
  <w:style w:type="character" w:customStyle="1" w:styleId="90">
    <w:name w:val="Mapa del documento Car1"/>
    <w:basedOn w:val="11"/>
    <w:semiHidden/>
    <w:qFormat/>
    <w:uiPriority w:val="99"/>
    <w:rPr>
      <w:rFonts w:ascii="Segoe UI" w:hAnsi="Segoe UI" w:cs="Segoe UI"/>
      <w:kern w:val="0"/>
      <w:sz w:val="16"/>
      <w:szCs w:val="16"/>
      <w14:ligatures w14:val="none"/>
    </w:rPr>
  </w:style>
  <w:style w:type="paragraph" w:customStyle="1" w:styleId="91">
    <w:name w:val="Lista CC."/>
    <w:basedOn w:val="1"/>
    <w:qFormat/>
    <w:uiPriority w:val="0"/>
    <w:pPr>
      <w:spacing w:after="0" w:line="240" w:lineRule="auto"/>
    </w:pPr>
    <w:rPr>
      <w:rFonts w:ascii="Times New Roman" w:hAnsi="Times New Roman" w:eastAsia="Times New Roman" w:cs="Times New Roman"/>
      <w:sz w:val="20"/>
      <w:szCs w:val="20"/>
      <w:lang w:eastAsia="es-ES"/>
    </w:rPr>
  </w:style>
  <w:style w:type="paragraph" w:customStyle="1" w:styleId="92">
    <w:name w:val="Remite abreviado"/>
    <w:basedOn w:val="1"/>
    <w:qFormat/>
    <w:uiPriority w:val="0"/>
    <w:pPr>
      <w:spacing w:after="0" w:line="240" w:lineRule="auto"/>
    </w:pPr>
    <w:rPr>
      <w:rFonts w:ascii="Times New Roman" w:hAnsi="Times New Roman" w:eastAsia="Times New Roman" w:cs="Times New Roman"/>
      <w:sz w:val="20"/>
      <w:szCs w:val="20"/>
      <w:lang w:eastAsia="es-ES"/>
    </w:rPr>
  </w:style>
  <w:style w:type="character" w:customStyle="1" w:styleId="93">
    <w:name w:val="Sangría 2 de t. independiente Car"/>
    <w:basedOn w:val="11"/>
    <w:link w:val="53"/>
    <w:qFormat/>
    <w:uiPriority w:val="0"/>
    <w:rPr>
      <w:rFonts w:ascii="Arial" w:hAnsi="Arial" w:eastAsia="Times New Roman" w:cs="Times New Roman"/>
      <w:spacing w:val="-4"/>
      <w:kern w:val="0"/>
      <w:sz w:val="24"/>
      <w:szCs w:val="20"/>
      <w:lang w:eastAsia="es-ES"/>
      <w14:ligatures w14:val="none"/>
    </w:rPr>
  </w:style>
  <w:style w:type="character" w:customStyle="1" w:styleId="94">
    <w:name w:val="Texto comentario Car"/>
    <w:basedOn w:val="11"/>
    <w:link w:val="31"/>
    <w:semiHidden/>
    <w:qFormat/>
    <w:uiPriority w:val="0"/>
    <w:rPr>
      <w:rFonts w:ascii="Tahoma" w:hAnsi="Tahoma" w:eastAsia="Times New Roman" w:cs="Times New Roman"/>
      <w:szCs w:val="20"/>
      <w:lang w:val="es-MX" w:eastAsia="es-ES"/>
    </w:rPr>
  </w:style>
  <w:style w:type="character" w:customStyle="1" w:styleId="95">
    <w:name w:val="Texto comentario Car1"/>
    <w:basedOn w:val="11"/>
    <w:semiHidden/>
    <w:qFormat/>
    <w:uiPriority w:val="99"/>
    <w:rPr>
      <w:rFonts w:ascii="Arial" w:hAnsi="Arial"/>
      <w:kern w:val="0"/>
      <w:sz w:val="20"/>
      <w:szCs w:val="20"/>
      <w14:ligatures w14:val="none"/>
    </w:rPr>
  </w:style>
  <w:style w:type="character" w:customStyle="1" w:styleId="96">
    <w:name w:val="Texto de globo Car"/>
    <w:basedOn w:val="11"/>
    <w:link w:val="30"/>
    <w:qFormat/>
    <w:uiPriority w:val="0"/>
    <w:rPr>
      <w:rFonts w:ascii="Tahoma" w:hAnsi="Tahoma" w:eastAsia="Times New Roman" w:cs="Tahoma"/>
      <w:kern w:val="0"/>
      <w:sz w:val="16"/>
      <w:szCs w:val="16"/>
      <w:lang w:eastAsia="es-ES"/>
      <w14:ligatures w14:val="none"/>
    </w:rPr>
  </w:style>
  <w:style w:type="character" w:customStyle="1" w:styleId="97">
    <w:name w:val="Título Car"/>
    <w:basedOn w:val="11"/>
    <w:link w:val="58"/>
    <w:qFormat/>
    <w:uiPriority w:val="10"/>
    <w:rPr>
      <w:rFonts w:ascii="Arial" w:hAnsi="Arial" w:eastAsia="Times New Roman" w:cs="Times New Roman"/>
      <w:b/>
      <w:kern w:val="0"/>
      <w:sz w:val="24"/>
      <w:szCs w:val="20"/>
      <w:lang w:eastAsia="es-ES"/>
      <w14:ligatures w14:val="none"/>
    </w:rPr>
  </w:style>
  <w:style w:type="paragraph" w:styleId="98">
    <w:name w:val="No Spacing"/>
    <w:qFormat/>
    <w:uiPriority w:val="1"/>
    <w:pPr>
      <w:spacing w:after="0" w:line="240" w:lineRule="auto"/>
    </w:pPr>
    <w:rPr>
      <w:rFonts w:ascii="Times New Roman" w:hAnsi="Times New Roman" w:eastAsia="Times New Roman" w:cs="Times New Roman"/>
      <w:kern w:val="0"/>
      <w:sz w:val="24"/>
      <w:szCs w:val="24"/>
      <w:lang w:val="es-ES" w:eastAsia="es-ES" w:bidi="ar-SA"/>
      <w14:ligatures w14:val="none"/>
    </w:rPr>
  </w:style>
  <w:style w:type="paragraph" w:customStyle="1" w:styleId="99">
    <w:name w:val="TOC Heading"/>
    <w:basedOn w:val="2"/>
    <w:next w:val="1"/>
    <w:unhideWhenUsed/>
    <w:qFormat/>
    <w:uiPriority w:val="39"/>
    <w:pPr>
      <w:numPr>
        <w:numId w:val="6"/>
      </w:numPr>
      <w:tabs>
        <w:tab w:val="left" w:pos="360"/>
      </w:tabs>
      <w:outlineLvl w:val="9"/>
    </w:pPr>
    <w:rPr>
      <w:rFonts w:ascii="Calibri Light" w:hAnsi="Calibri Light" w:eastAsia="Times New Roman" w:cs="Times New Roman"/>
      <w:color w:val="2F5496"/>
      <w:lang w:eastAsia="es-CO"/>
    </w:rPr>
  </w:style>
  <w:style w:type="character" w:customStyle="1" w:styleId="100">
    <w:name w:val="Texto nota al final Car"/>
    <w:basedOn w:val="11"/>
    <w:link w:val="28"/>
    <w:semiHidden/>
    <w:qFormat/>
    <w:uiPriority w:val="99"/>
    <w:rPr>
      <w:rFonts w:ascii="Arial" w:hAnsi="Arial"/>
      <w:kern w:val="0"/>
      <w:sz w:val="20"/>
      <w:szCs w:val="20"/>
      <w14:ligatures w14:val="none"/>
    </w:rPr>
  </w:style>
  <w:style w:type="character" w:customStyle="1" w:styleId="101">
    <w:name w:val="Unresolved Mention"/>
    <w:basedOn w:val="1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115</Pages>
  <Words>33800</Words>
  <Characters>185901</Characters>
  <Lines>1549</Lines>
  <Paragraphs>438</Paragraphs>
  <TotalTime>1511</TotalTime>
  <ScaleCrop>false</ScaleCrop>
  <LinksUpToDate>false</LinksUpToDate>
  <CharactersWithSpaces>219263</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2024-09-24T01:31:00Z</dcterms:created>
  <dc:creator>573208075689</dc:creator>
  <cp:lastModifiedBy>ricardo gamboa</cp:lastModifiedBy>
  <dcterms:modified xsi:type="dcterms:W3CDTF">2025-07-11T21:00:27Z</dcterms:modified>
  <cp:revision>170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2058-12.2.0.21931</vt:lpwstr>
  </property>
  <property fmtid="{D5CDD505-2E9C-101B-9397-08002B2CF9AE}" pid="3" name="ICV">
    <vt:lpwstr>B8950EC609EB4B6BB4A4A678F3C293C2_12</vt:lpwstr>
  </property>
</Properties>
</file>